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BAD20" w14:textId="77777777" w:rsidR="00F90CBE" w:rsidRPr="009B01C6" w:rsidRDefault="00F90CBE" w:rsidP="00F90CBE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9B01C6">
        <w:rPr>
          <w:rFonts w:ascii="Calibri" w:eastAsia="Times New Roman" w:hAnsi="Calibri" w:cs="Calibri"/>
          <w:b/>
          <w:bCs/>
          <w:color w:val="000000"/>
          <w:lang w:eastAsia="pl-PL"/>
        </w:rPr>
        <w:t>EMPOWERMENT PATHWAY PREVENTING PRESSURE INJURY</w:t>
      </w:r>
    </w:p>
    <w:p w14:paraId="48DD66A3" w14:textId="160E3A06" w:rsidR="00F90CBE" w:rsidRDefault="00F90CBE" w:rsidP="00F90CBE">
      <w:pPr>
        <w:rPr>
          <w:b/>
          <w:bCs/>
        </w:rPr>
      </w:pPr>
      <w:r w:rsidRPr="00A1356A">
        <w:rPr>
          <w:b/>
          <w:bCs/>
        </w:rPr>
        <w:t xml:space="preserve">Outline </w:t>
      </w:r>
      <w:r>
        <w:rPr>
          <w:b/>
          <w:bCs/>
        </w:rPr>
        <w:t>Partner Communication</w:t>
      </w:r>
      <w:r w:rsidRPr="00A1356A">
        <w:rPr>
          <w:b/>
          <w:bCs/>
        </w:rPr>
        <w:t xml:space="preserve"> Plan</w:t>
      </w:r>
    </w:p>
    <w:p w14:paraId="0DA1887F" w14:textId="77777777" w:rsidR="00F90CBE" w:rsidRDefault="00F90CBE" w:rsidP="00F90CBE">
      <w:pPr>
        <w:rPr>
          <w:b/>
          <w:bCs/>
        </w:rPr>
      </w:pPr>
    </w:p>
    <w:p w14:paraId="1ACB3723" w14:textId="578A2D1E" w:rsidR="00F90CBE" w:rsidRDefault="00650143" w:rsidP="00F90CBE">
      <w:r w:rsidRPr="00650143">
        <w:t>Collaborat</w:t>
      </w:r>
      <w:r>
        <w:t>ion between partners</w:t>
      </w:r>
      <w:r w:rsidR="00811F5C">
        <w:t xml:space="preserve"> is critical to our transnational partnership</w:t>
      </w:r>
      <w:r w:rsidR="00745626">
        <w:t xml:space="preserve"> and the shared aim to contribute to the transformation of healthcare systems</w:t>
      </w:r>
      <w:r w:rsidR="000908AC">
        <w:t xml:space="preserve"> in Europe to improve prevention of pressure injury.</w:t>
      </w:r>
    </w:p>
    <w:p w14:paraId="278E2DA7" w14:textId="6E59D68F" w:rsidR="002A0163" w:rsidRDefault="002A0163" w:rsidP="00F90CBE">
      <w:r>
        <w:t xml:space="preserve">Partners are jountly committed to support </w:t>
      </w:r>
      <w:r w:rsidR="00A24113">
        <w:t>the programme of research, development and dissemination</w:t>
      </w:r>
      <w:r w:rsidR="00BC6876">
        <w:t xml:space="preserve"> to use existing networks and relationships available to partner institutions, and to create relationships and reach out to new networks to further their aims.</w:t>
      </w:r>
    </w:p>
    <w:p w14:paraId="74F534BD" w14:textId="77777777" w:rsidR="00650DAD" w:rsidRDefault="00650DAD" w:rsidP="00F90CBE"/>
    <w:p w14:paraId="40C86ABE" w14:textId="60CC34DB" w:rsidR="00650DAD" w:rsidRPr="00672411" w:rsidRDefault="00650DAD" w:rsidP="00F90CBE">
      <w:pPr>
        <w:rPr>
          <w:b/>
          <w:bCs/>
        </w:rPr>
      </w:pPr>
      <w:r w:rsidRPr="00672411">
        <w:rPr>
          <w:b/>
          <w:bCs/>
        </w:rPr>
        <w:t>Shared strategic vision</w:t>
      </w:r>
    </w:p>
    <w:p w14:paraId="53C7CB74" w14:textId="674847C8" w:rsidR="00650DAD" w:rsidRDefault="00931103" w:rsidP="00931103">
      <w:pPr>
        <w:pStyle w:val="ListParagraph"/>
        <w:numPr>
          <w:ilvl w:val="0"/>
          <w:numId w:val="3"/>
        </w:numPr>
      </w:pPr>
      <w:r>
        <w:t>To establish a high standard of evidence to inform professional understanding and practice to prevent pressure injury</w:t>
      </w:r>
    </w:p>
    <w:p w14:paraId="432CD1D3" w14:textId="09A113A3" w:rsidR="00F61F2F" w:rsidRDefault="00F61F2F" w:rsidP="00931103">
      <w:pPr>
        <w:pStyle w:val="ListParagraph"/>
        <w:numPr>
          <w:ilvl w:val="0"/>
          <w:numId w:val="3"/>
        </w:numPr>
      </w:pPr>
      <w:r>
        <w:t xml:space="preserve">To influence policy makers and decision makers to </w:t>
      </w:r>
      <w:r w:rsidR="008B18F8">
        <w:t>enable change in preventive practice for pressure injury</w:t>
      </w:r>
    </w:p>
    <w:p w14:paraId="5818768E" w14:textId="34790BE3" w:rsidR="001C4CF7" w:rsidRDefault="001C4CF7" w:rsidP="00931103">
      <w:pPr>
        <w:pStyle w:val="ListParagraph"/>
        <w:numPr>
          <w:ilvl w:val="0"/>
          <w:numId w:val="3"/>
        </w:numPr>
      </w:pPr>
      <w:r>
        <w:t>To empower and enable patients to understand and engage in self help for pressure injury prevention</w:t>
      </w:r>
    </w:p>
    <w:p w14:paraId="349DB21F" w14:textId="5A842865" w:rsidR="001C4CF7" w:rsidRDefault="001C4CF7" w:rsidP="00931103">
      <w:pPr>
        <w:pStyle w:val="ListParagraph"/>
        <w:numPr>
          <w:ilvl w:val="0"/>
          <w:numId w:val="3"/>
        </w:numPr>
      </w:pPr>
      <w:r>
        <w:t>To facilitate and support practitioner education and development to</w:t>
      </w:r>
      <w:r w:rsidR="00FA4A9F">
        <w:t xml:space="preserve"> engage with technology and resources for prevention of pressure injury</w:t>
      </w:r>
    </w:p>
    <w:p w14:paraId="7ECD5771" w14:textId="4D156A55" w:rsidR="00337A27" w:rsidRDefault="00337A27" w:rsidP="00337A27">
      <w:r>
        <w:t>To achieve this vision, partners will commit to the EPPPI pro</w:t>
      </w:r>
      <w:r w:rsidR="007E1E35">
        <w:t>ject</w:t>
      </w:r>
      <w:r>
        <w:t xml:space="preserve"> and </w:t>
      </w:r>
      <w:r w:rsidR="00340C47">
        <w:t xml:space="preserve">continue to mobilise via a long term commitment to </w:t>
      </w:r>
      <w:r w:rsidR="007E1E35">
        <w:t>furthering the legacy of the project.</w:t>
      </w:r>
    </w:p>
    <w:p w14:paraId="29E717B7" w14:textId="77777777" w:rsidR="00694108" w:rsidRDefault="00694108" w:rsidP="00337A27"/>
    <w:p w14:paraId="1DC44163" w14:textId="6C607098" w:rsidR="00694108" w:rsidRPr="007F3646" w:rsidRDefault="00694108" w:rsidP="00337A27">
      <w:pPr>
        <w:rPr>
          <w:b/>
          <w:bCs/>
        </w:rPr>
      </w:pPr>
      <w:r w:rsidRPr="007F3646">
        <w:rPr>
          <w:b/>
          <w:bCs/>
        </w:rPr>
        <w:t>Structure</w:t>
      </w:r>
    </w:p>
    <w:tbl>
      <w:tblPr>
        <w:tblStyle w:val="TableGrid"/>
        <w:tblW w:w="14412" w:type="dxa"/>
        <w:tblLook w:val="04A0" w:firstRow="1" w:lastRow="0" w:firstColumn="1" w:lastColumn="0" w:noHBand="0" w:noVBand="1"/>
      </w:tblPr>
      <w:tblGrid>
        <w:gridCol w:w="1980"/>
        <w:gridCol w:w="3426"/>
        <w:gridCol w:w="3002"/>
        <w:gridCol w:w="2896"/>
        <w:gridCol w:w="31"/>
        <w:gridCol w:w="3077"/>
      </w:tblGrid>
      <w:tr w:rsidR="002B44D7" w:rsidRPr="00DA511F" w14:paraId="229B2721" w14:textId="50C22CF8" w:rsidTr="00867341">
        <w:tc>
          <w:tcPr>
            <w:tcW w:w="1980" w:type="dxa"/>
            <w:vAlign w:val="center"/>
          </w:tcPr>
          <w:p w14:paraId="2C98E3DB" w14:textId="3B227DE8" w:rsidR="0078718A" w:rsidRPr="00DA511F" w:rsidRDefault="0078718A" w:rsidP="002B44D7">
            <w:pPr>
              <w:jc w:val="center"/>
              <w:rPr>
                <w:b/>
                <w:bCs/>
                <w:sz w:val="22"/>
                <w:szCs w:val="22"/>
              </w:rPr>
            </w:pPr>
            <w:r w:rsidRPr="00DA511F">
              <w:rPr>
                <w:b/>
                <w:bCs/>
                <w:sz w:val="22"/>
                <w:szCs w:val="22"/>
              </w:rPr>
              <w:t>Trans-national Partnership Structure</w:t>
            </w:r>
          </w:p>
        </w:tc>
        <w:tc>
          <w:tcPr>
            <w:tcW w:w="3426" w:type="dxa"/>
            <w:vAlign w:val="center"/>
          </w:tcPr>
          <w:p w14:paraId="006A1DFB" w14:textId="49EE6E21" w:rsidR="0078718A" w:rsidRPr="00DA511F" w:rsidRDefault="0078718A" w:rsidP="002B44D7">
            <w:pPr>
              <w:jc w:val="center"/>
              <w:rPr>
                <w:b/>
                <w:bCs/>
                <w:sz w:val="22"/>
                <w:szCs w:val="22"/>
              </w:rPr>
            </w:pPr>
            <w:r w:rsidRPr="00DA511F">
              <w:rPr>
                <w:b/>
                <w:bCs/>
                <w:sz w:val="22"/>
                <w:szCs w:val="22"/>
              </w:rPr>
              <w:t>ToR</w:t>
            </w:r>
            <w:r w:rsidR="009A49C0" w:rsidRPr="00DA511F">
              <w:rPr>
                <w:b/>
                <w:bCs/>
                <w:sz w:val="22"/>
                <w:szCs w:val="22"/>
              </w:rPr>
              <w:t xml:space="preserve"> Outline</w:t>
            </w:r>
          </w:p>
        </w:tc>
        <w:tc>
          <w:tcPr>
            <w:tcW w:w="3002" w:type="dxa"/>
            <w:vAlign w:val="center"/>
          </w:tcPr>
          <w:p w14:paraId="020CDC5C" w14:textId="077A29F0" w:rsidR="0078718A" w:rsidRPr="00DA511F" w:rsidRDefault="0078718A" w:rsidP="002B44D7">
            <w:pPr>
              <w:jc w:val="center"/>
              <w:rPr>
                <w:b/>
                <w:bCs/>
                <w:sz w:val="22"/>
                <w:szCs w:val="22"/>
              </w:rPr>
            </w:pPr>
            <w:r w:rsidRPr="00DA511F">
              <w:rPr>
                <w:b/>
                <w:bCs/>
                <w:sz w:val="22"/>
                <w:szCs w:val="22"/>
              </w:rPr>
              <w:t>Functions</w:t>
            </w:r>
          </w:p>
        </w:tc>
        <w:tc>
          <w:tcPr>
            <w:tcW w:w="2896" w:type="dxa"/>
            <w:vAlign w:val="center"/>
          </w:tcPr>
          <w:p w14:paraId="426E7569" w14:textId="74A77DD4" w:rsidR="0078718A" w:rsidRPr="00DA511F" w:rsidRDefault="0078718A" w:rsidP="002B44D7">
            <w:pPr>
              <w:jc w:val="center"/>
              <w:rPr>
                <w:b/>
                <w:bCs/>
                <w:sz w:val="22"/>
                <w:szCs w:val="22"/>
              </w:rPr>
            </w:pPr>
            <w:r w:rsidRPr="00DA511F">
              <w:rPr>
                <w:b/>
                <w:bCs/>
                <w:sz w:val="22"/>
                <w:szCs w:val="22"/>
              </w:rPr>
              <w:t>Mechanisms</w:t>
            </w:r>
          </w:p>
        </w:tc>
        <w:tc>
          <w:tcPr>
            <w:tcW w:w="3108" w:type="dxa"/>
            <w:gridSpan w:val="2"/>
            <w:vAlign w:val="center"/>
          </w:tcPr>
          <w:p w14:paraId="4444136A" w14:textId="0D65B7A8" w:rsidR="0078718A" w:rsidRPr="00DA511F" w:rsidRDefault="0078718A" w:rsidP="002B44D7">
            <w:pPr>
              <w:ind w:right="561"/>
              <w:jc w:val="center"/>
              <w:rPr>
                <w:b/>
                <w:bCs/>
                <w:sz w:val="22"/>
                <w:szCs w:val="22"/>
              </w:rPr>
            </w:pPr>
            <w:r w:rsidRPr="00DA511F">
              <w:rPr>
                <w:b/>
                <w:bCs/>
                <w:sz w:val="22"/>
                <w:szCs w:val="22"/>
              </w:rPr>
              <w:t xml:space="preserve">National </w:t>
            </w:r>
            <w:r w:rsidR="002B44D7" w:rsidRPr="00DA511F">
              <w:rPr>
                <w:b/>
                <w:bCs/>
                <w:sz w:val="22"/>
                <w:szCs w:val="22"/>
              </w:rPr>
              <w:t>supporting structures</w:t>
            </w:r>
            <w:r w:rsidR="00DA511F" w:rsidRPr="00DA511F">
              <w:rPr>
                <w:b/>
                <w:bCs/>
                <w:sz w:val="22"/>
                <w:szCs w:val="22"/>
              </w:rPr>
              <w:t xml:space="preserve"> as required</w:t>
            </w:r>
          </w:p>
        </w:tc>
      </w:tr>
      <w:tr w:rsidR="002B44D7" w:rsidRPr="00DA511F" w14:paraId="699CC431" w14:textId="4AF267FD" w:rsidTr="00867341">
        <w:tc>
          <w:tcPr>
            <w:tcW w:w="1980" w:type="dxa"/>
            <w:vAlign w:val="center"/>
          </w:tcPr>
          <w:p w14:paraId="3538F062" w14:textId="21DFB8A4" w:rsidR="0078718A" w:rsidRPr="00DA511F" w:rsidRDefault="0078718A" w:rsidP="002B66D4">
            <w:pPr>
              <w:rPr>
                <w:sz w:val="22"/>
                <w:szCs w:val="22"/>
              </w:rPr>
            </w:pPr>
            <w:r w:rsidRPr="00DA511F">
              <w:rPr>
                <w:sz w:val="22"/>
                <w:szCs w:val="22"/>
              </w:rPr>
              <w:t>Project Co-ordination Group</w:t>
            </w:r>
          </w:p>
        </w:tc>
        <w:tc>
          <w:tcPr>
            <w:tcW w:w="3426" w:type="dxa"/>
          </w:tcPr>
          <w:p w14:paraId="4577D461" w14:textId="77777777" w:rsidR="0078718A" w:rsidRDefault="000B60A4" w:rsidP="0078718A">
            <w:pPr>
              <w:rPr>
                <w:sz w:val="22"/>
                <w:szCs w:val="22"/>
              </w:rPr>
            </w:pPr>
            <w:r w:rsidRPr="00DA511F">
              <w:rPr>
                <w:sz w:val="22"/>
                <w:szCs w:val="22"/>
              </w:rPr>
              <w:t>Overall project accountability for delivery</w:t>
            </w:r>
          </w:p>
          <w:p w14:paraId="4D04403A" w14:textId="77777777" w:rsidR="007327AE" w:rsidRDefault="007327AE" w:rsidP="0078718A">
            <w:pPr>
              <w:rPr>
                <w:sz w:val="22"/>
                <w:szCs w:val="22"/>
              </w:rPr>
            </w:pPr>
          </w:p>
          <w:p w14:paraId="193A8032" w14:textId="77777777" w:rsidR="007327AE" w:rsidRDefault="007327AE" w:rsidP="00787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Membership: lead </w:t>
            </w:r>
            <w:r w:rsidR="00C00FD8">
              <w:rPr>
                <w:sz w:val="22"/>
                <w:szCs w:val="22"/>
              </w:rPr>
              <w:t>from each partner</w:t>
            </w:r>
          </w:p>
          <w:p w14:paraId="48F4B8D4" w14:textId="77777777" w:rsidR="00C00FD8" w:rsidRDefault="00C00FD8" w:rsidP="00787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Chair: Project Co-ordinator</w:t>
            </w:r>
          </w:p>
          <w:p w14:paraId="646ABFCF" w14:textId="500D181B" w:rsidR="00631E72" w:rsidRPr="00DA511F" w:rsidRDefault="00631E72" w:rsidP="00787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Secretariat: Project Co-ordinator</w:t>
            </w:r>
          </w:p>
        </w:tc>
        <w:tc>
          <w:tcPr>
            <w:tcW w:w="3002" w:type="dxa"/>
          </w:tcPr>
          <w:p w14:paraId="3D3E12CD" w14:textId="77777777" w:rsidR="0078718A" w:rsidRDefault="007E2EB6" w:rsidP="0078718A">
            <w:pPr>
              <w:rPr>
                <w:sz w:val="22"/>
                <w:szCs w:val="22"/>
              </w:rPr>
            </w:pPr>
            <w:r w:rsidRPr="00DA511F">
              <w:rPr>
                <w:sz w:val="22"/>
                <w:szCs w:val="22"/>
              </w:rPr>
              <w:t>Leadership</w:t>
            </w:r>
            <w:r w:rsidR="00942F6D" w:rsidRPr="00DA511F">
              <w:rPr>
                <w:sz w:val="22"/>
                <w:szCs w:val="22"/>
              </w:rPr>
              <w:t xml:space="preserve">, cohesion, partnership-wide </w:t>
            </w:r>
            <w:r w:rsidR="002F5608" w:rsidRPr="00DA511F">
              <w:rPr>
                <w:sz w:val="22"/>
                <w:szCs w:val="22"/>
              </w:rPr>
              <w:t>approach, governance</w:t>
            </w:r>
          </w:p>
          <w:p w14:paraId="695B3843" w14:textId="5CA24098" w:rsidR="002B5158" w:rsidRDefault="002B5158" w:rsidP="00787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PID</w:t>
            </w:r>
          </w:p>
          <w:p w14:paraId="3030443B" w14:textId="6768B48C" w:rsidR="008C6B4A" w:rsidRDefault="008C6B4A" w:rsidP="00787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Monitoring reports THCS</w:t>
            </w:r>
          </w:p>
          <w:p w14:paraId="6E4D4ABA" w14:textId="3AE170B5" w:rsidR="0027619F" w:rsidRPr="00DA511F" w:rsidRDefault="0027619F" w:rsidP="00787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Dissemination plan</w:t>
            </w:r>
          </w:p>
        </w:tc>
        <w:tc>
          <w:tcPr>
            <w:tcW w:w="2896" w:type="dxa"/>
          </w:tcPr>
          <w:p w14:paraId="23FC4B45" w14:textId="77777777" w:rsidR="0078718A" w:rsidRPr="00DA511F" w:rsidRDefault="00F4053C" w:rsidP="0078718A">
            <w:pPr>
              <w:rPr>
                <w:sz w:val="22"/>
                <w:szCs w:val="22"/>
              </w:rPr>
            </w:pPr>
            <w:r w:rsidRPr="00DA511F">
              <w:rPr>
                <w:sz w:val="22"/>
                <w:szCs w:val="22"/>
              </w:rPr>
              <w:t>Quarterly online meeting</w:t>
            </w:r>
          </w:p>
          <w:p w14:paraId="765B7DC9" w14:textId="77777777" w:rsidR="006D3101" w:rsidRPr="00DA511F" w:rsidRDefault="006D3101" w:rsidP="0078718A">
            <w:pPr>
              <w:rPr>
                <w:sz w:val="22"/>
                <w:szCs w:val="22"/>
              </w:rPr>
            </w:pPr>
            <w:r w:rsidRPr="00DA511F">
              <w:rPr>
                <w:sz w:val="22"/>
                <w:szCs w:val="22"/>
              </w:rPr>
              <w:t>Six monthly face-to-face trilateral meeting</w:t>
            </w:r>
          </w:p>
          <w:p w14:paraId="2638BC4E" w14:textId="05C658BC" w:rsidR="00B147F8" w:rsidRPr="00DA511F" w:rsidRDefault="00B147F8" w:rsidP="0078718A">
            <w:pPr>
              <w:rPr>
                <w:sz w:val="22"/>
                <w:szCs w:val="22"/>
              </w:rPr>
            </w:pPr>
            <w:r w:rsidRPr="00DA511F">
              <w:rPr>
                <w:sz w:val="22"/>
                <w:szCs w:val="22"/>
              </w:rPr>
              <w:t>Partnership communications hub</w:t>
            </w:r>
          </w:p>
        </w:tc>
        <w:tc>
          <w:tcPr>
            <w:tcW w:w="3108" w:type="dxa"/>
            <w:gridSpan w:val="2"/>
          </w:tcPr>
          <w:p w14:paraId="508C3CC3" w14:textId="4E2AF8AF" w:rsidR="0078718A" w:rsidRPr="00DA511F" w:rsidRDefault="00661CCA" w:rsidP="0078718A">
            <w:pPr>
              <w:ind w:right="561"/>
              <w:rPr>
                <w:sz w:val="22"/>
                <w:szCs w:val="22"/>
              </w:rPr>
            </w:pPr>
            <w:r w:rsidRPr="00DA511F">
              <w:rPr>
                <w:sz w:val="22"/>
                <w:szCs w:val="22"/>
              </w:rPr>
              <w:t>Institutional governance</w:t>
            </w:r>
            <w:r w:rsidR="000E78A8" w:rsidRPr="00DA511F">
              <w:rPr>
                <w:sz w:val="22"/>
                <w:szCs w:val="22"/>
              </w:rPr>
              <w:t xml:space="preserve">; </w:t>
            </w:r>
            <w:r w:rsidR="003148F8" w:rsidRPr="00DA511F">
              <w:rPr>
                <w:sz w:val="22"/>
                <w:szCs w:val="22"/>
              </w:rPr>
              <w:t xml:space="preserve">(e.g. </w:t>
            </w:r>
            <w:r w:rsidR="000E78A8" w:rsidRPr="00DA511F">
              <w:rPr>
                <w:sz w:val="22"/>
                <w:szCs w:val="22"/>
              </w:rPr>
              <w:t xml:space="preserve">National Research </w:t>
            </w:r>
            <w:r w:rsidR="00850E79" w:rsidRPr="00DA511F">
              <w:rPr>
                <w:sz w:val="22"/>
                <w:szCs w:val="22"/>
              </w:rPr>
              <w:t>Scotland</w:t>
            </w:r>
            <w:r w:rsidR="003148F8" w:rsidRPr="00DA511F">
              <w:rPr>
                <w:sz w:val="22"/>
                <w:szCs w:val="22"/>
              </w:rPr>
              <w:t>; Chief Scientist Office; Care Inspectorate Scotland)</w:t>
            </w:r>
          </w:p>
        </w:tc>
      </w:tr>
      <w:tr w:rsidR="002B44D7" w:rsidRPr="00DA511F" w14:paraId="708E8F31" w14:textId="5E6EBB44" w:rsidTr="00867341">
        <w:tc>
          <w:tcPr>
            <w:tcW w:w="1980" w:type="dxa"/>
            <w:vAlign w:val="center"/>
          </w:tcPr>
          <w:p w14:paraId="3E1F6D0F" w14:textId="7ED2203D" w:rsidR="0078718A" w:rsidRPr="00DA511F" w:rsidRDefault="00A76795" w:rsidP="002B66D4">
            <w:pPr>
              <w:rPr>
                <w:sz w:val="22"/>
                <w:szCs w:val="22"/>
              </w:rPr>
            </w:pPr>
            <w:r w:rsidRPr="00DA511F">
              <w:rPr>
                <w:sz w:val="22"/>
                <w:szCs w:val="22"/>
              </w:rPr>
              <w:t>Workstream Oversight Group</w:t>
            </w:r>
          </w:p>
        </w:tc>
        <w:tc>
          <w:tcPr>
            <w:tcW w:w="3426" w:type="dxa"/>
          </w:tcPr>
          <w:p w14:paraId="0072D65A" w14:textId="77777777" w:rsidR="0078718A" w:rsidRDefault="000B60A4" w:rsidP="0078718A">
            <w:pPr>
              <w:rPr>
                <w:sz w:val="22"/>
                <w:szCs w:val="22"/>
              </w:rPr>
            </w:pPr>
            <w:r w:rsidRPr="00DA511F">
              <w:rPr>
                <w:sz w:val="22"/>
                <w:szCs w:val="22"/>
              </w:rPr>
              <w:t>Workstream progress against plans and milestones</w:t>
            </w:r>
          </w:p>
          <w:p w14:paraId="61CDEF4E" w14:textId="77777777" w:rsidR="00C00FD8" w:rsidRDefault="00C00FD8" w:rsidP="0078718A">
            <w:pPr>
              <w:rPr>
                <w:sz w:val="22"/>
                <w:szCs w:val="22"/>
              </w:rPr>
            </w:pPr>
          </w:p>
          <w:p w14:paraId="4012B130" w14:textId="35B63F25" w:rsidR="00C00FD8" w:rsidRDefault="00C00FD8" w:rsidP="00787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Membership: workstream leads</w:t>
            </w:r>
          </w:p>
          <w:p w14:paraId="6612E122" w14:textId="77777777" w:rsidR="00665FFF" w:rsidRDefault="00C00FD8" w:rsidP="00C00F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Chair: Project Manager</w:t>
            </w:r>
          </w:p>
          <w:p w14:paraId="56A7A972" w14:textId="7733B276" w:rsidR="00631E72" w:rsidRPr="00DA511F" w:rsidRDefault="00631E72" w:rsidP="00C00F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Secretariat: Project </w:t>
            </w:r>
            <w:r>
              <w:rPr>
                <w:sz w:val="22"/>
                <w:szCs w:val="22"/>
              </w:rPr>
              <w:t>Manager</w:t>
            </w:r>
          </w:p>
        </w:tc>
        <w:tc>
          <w:tcPr>
            <w:tcW w:w="3002" w:type="dxa"/>
          </w:tcPr>
          <w:p w14:paraId="03D6DC89" w14:textId="71E34F44" w:rsidR="0078718A" w:rsidRPr="00DA511F" w:rsidRDefault="0060494D" w:rsidP="0078718A">
            <w:pPr>
              <w:rPr>
                <w:sz w:val="22"/>
                <w:szCs w:val="22"/>
              </w:rPr>
            </w:pPr>
            <w:r w:rsidRPr="00DA511F">
              <w:rPr>
                <w:sz w:val="22"/>
                <w:szCs w:val="22"/>
              </w:rPr>
              <w:lastRenderedPageBreak/>
              <w:t>Approve workstream plan</w:t>
            </w:r>
            <w:r w:rsidR="00E26470" w:rsidRPr="00DA511F">
              <w:rPr>
                <w:sz w:val="22"/>
                <w:szCs w:val="22"/>
              </w:rPr>
              <w:t>s</w:t>
            </w:r>
          </w:p>
          <w:p w14:paraId="125FA368" w14:textId="77777777" w:rsidR="0060494D" w:rsidRPr="00DA511F" w:rsidRDefault="0060494D" w:rsidP="0078718A">
            <w:pPr>
              <w:rPr>
                <w:sz w:val="22"/>
                <w:szCs w:val="22"/>
              </w:rPr>
            </w:pPr>
            <w:r w:rsidRPr="00DA511F">
              <w:rPr>
                <w:sz w:val="22"/>
                <w:szCs w:val="22"/>
              </w:rPr>
              <w:lastRenderedPageBreak/>
              <w:t>Receive workstream progress reports</w:t>
            </w:r>
          </w:p>
          <w:p w14:paraId="791C61D0" w14:textId="7A0C8B91" w:rsidR="00E26470" w:rsidRPr="00DA511F" w:rsidRDefault="00E26470" w:rsidP="0078718A">
            <w:pPr>
              <w:rPr>
                <w:sz w:val="22"/>
                <w:szCs w:val="22"/>
              </w:rPr>
            </w:pPr>
            <w:r w:rsidRPr="00DA511F">
              <w:rPr>
                <w:sz w:val="22"/>
                <w:szCs w:val="22"/>
              </w:rPr>
              <w:t>Escalation to Project Co-ordination Group</w:t>
            </w:r>
          </w:p>
        </w:tc>
        <w:tc>
          <w:tcPr>
            <w:tcW w:w="2896" w:type="dxa"/>
          </w:tcPr>
          <w:p w14:paraId="2B40880D" w14:textId="77777777" w:rsidR="0078718A" w:rsidRPr="00DA511F" w:rsidRDefault="00F4053C" w:rsidP="0078718A">
            <w:pPr>
              <w:rPr>
                <w:sz w:val="22"/>
                <w:szCs w:val="22"/>
              </w:rPr>
            </w:pPr>
            <w:r w:rsidRPr="00DA511F">
              <w:rPr>
                <w:sz w:val="22"/>
                <w:szCs w:val="22"/>
              </w:rPr>
              <w:lastRenderedPageBreak/>
              <w:t>Bi-monthly online meeting</w:t>
            </w:r>
          </w:p>
          <w:p w14:paraId="50E15BE0" w14:textId="3353289E" w:rsidR="00B147F8" w:rsidRPr="00DA511F" w:rsidRDefault="00B147F8" w:rsidP="0078718A">
            <w:pPr>
              <w:rPr>
                <w:sz w:val="22"/>
                <w:szCs w:val="22"/>
              </w:rPr>
            </w:pPr>
            <w:r w:rsidRPr="00DA511F">
              <w:rPr>
                <w:sz w:val="22"/>
                <w:szCs w:val="22"/>
              </w:rPr>
              <w:lastRenderedPageBreak/>
              <w:t>Partnership communications hub</w:t>
            </w:r>
          </w:p>
        </w:tc>
        <w:tc>
          <w:tcPr>
            <w:tcW w:w="3108" w:type="dxa"/>
            <w:gridSpan w:val="2"/>
          </w:tcPr>
          <w:p w14:paraId="59130B73" w14:textId="0832F983" w:rsidR="00D011BC" w:rsidRPr="00DA511F" w:rsidRDefault="00D011BC" w:rsidP="0078718A">
            <w:pPr>
              <w:ind w:right="561"/>
              <w:rPr>
                <w:sz w:val="22"/>
                <w:szCs w:val="22"/>
              </w:rPr>
            </w:pPr>
          </w:p>
        </w:tc>
      </w:tr>
      <w:tr w:rsidR="002B44D7" w:rsidRPr="00DA511F" w14:paraId="71D74C21" w14:textId="2C5093C7" w:rsidTr="00867341">
        <w:tc>
          <w:tcPr>
            <w:tcW w:w="1980" w:type="dxa"/>
            <w:vAlign w:val="center"/>
          </w:tcPr>
          <w:p w14:paraId="28183D71" w14:textId="1F3F6421" w:rsidR="0078718A" w:rsidRPr="00DA511F" w:rsidRDefault="009A2362" w:rsidP="002B66D4">
            <w:pPr>
              <w:rPr>
                <w:sz w:val="22"/>
                <w:szCs w:val="22"/>
              </w:rPr>
            </w:pPr>
            <w:r w:rsidRPr="00DA511F">
              <w:rPr>
                <w:sz w:val="22"/>
                <w:szCs w:val="22"/>
              </w:rPr>
              <w:t>Workstreams</w:t>
            </w:r>
          </w:p>
        </w:tc>
        <w:tc>
          <w:tcPr>
            <w:tcW w:w="3426" w:type="dxa"/>
          </w:tcPr>
          <w:p w14:paraId="0A72B43F" w14:textId="77777777" w:rsidR="0078718A" w:rsidRDefault="00C00FD8" w:rsidP="00787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Workstream delivery of </w:t>
            </w:r>
            <w:r w:rsidR="00FA6887">
              <w:rPr>
                <w:sz w:val="22"/>
                <w:szCs w:val="22"/>
              </w:rPr>
              <w:t>actions and objectives</w:t>
            </w:r>
          </w:p>
          <w:p w14:paraId="73291950" w14:textId="77777777" w:rsidR="00FA6887" w:rsidRDefault="00FA6887" w:rsidP="00787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Monitoring and data collection to support reporting on delivery</w:t>
            </w:r>
          </w:p>
          <w:p w14:paraId="126FACA8" w14:textId="77777777" w:rsidR="00D914CB" w:rsidRDefault="00D914CB" w:rsidP="0078718A">
            <w:pPr>
              <w:rPr>
                <w:sz w:val="22"/>
                <w:szCs w:val="22"/>
              </w:rPr>
            </w:pPr>
          </w:p>
          <w:p w14:paraId="577A8486" w14:textId="371D02D2" w:rsidR="00D914CB" w:rsidRDefault="00D914CB" w:rsidP="00787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Membership: </w:t>
            </w:r>
            <w:r w:rsidR="001264E1">
              <w:rPr>
                <w:sz w:val="22"/>
                <w:szCs w:val="22"/>
              </w:rPr>
              <w:t>partner</w:t>
            </w:r>
            <w:r w:rsidR="002D00E6">
              <w:rPr>
                <w:sz w:val="22"/>
                <w:szCs w:val="22"/>
              </w:rPr>
              <w:t xml:space="preserve"> d</w:t>
            </w:r>
            <w:r w:rsidR="00A9327D">
              <w:rPr>
                <w:sz w:val="22"/>
                <w:szCs w:val="22"/>
              </w:rPr>
              <w:t>elivery personnel</w:t>
            </w:r>
            <w:r w:rsidR="002D00E6">
              <w:rPr>
                <w:sz w:val="22"/>
                <w:szCs w:val="22"/>
              </w:rPr>
              <w:t xml:space="preserve"> </w:t>
            </w:r>
          </w:p>
          <w:p w14:paraId="5ACE17B6" w14:textId="77777777" w:rsidR="00D914CB" w:rsidRDefault="00D914CB" w:rsidP="00787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Chair: </w:t>
            </w:r>
            <w:r w:rsidR="002D00E6">
              <w:rPr>
                <w:sz w:val="22"/>
                <w:szCs w:val="22"/>
              </w:rPr>
              <w:t>Designated workstream lead</w:t>
            </w:r>
          </w:p>
          <w:p w14:paraId="44F9EE98" w14:textId="311DF68D" w:rsidR="00A016FD" w:rsidRPr="00DA511F" w:rsidRDefault="00A016FD" w:rsidP="00787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Secretariat: Project Manager</w:t>
            </w:r>
          </w:p>
        </w:tc>
        <w:tc>
          <w:tcPr>
            <w:tcW w:w="3002" w:type="dxa"/>
          </w:tcPr>
          <w:p w14:paraId="3479B3CC" w14:textId="77777777" w:rsidR="0078718A" w:rsidRPr="00DA511F" w:rsidRDefault="00BD77F7" w:rsidP="0078718A">
            <w:pPr>
              <w:rPr>
                <w:sz w:val="22"/>
                <w:szCs w:val="22"/>
              </w:rPr>
            </w:pPr>
            <w:r w:rsidRPr="00DA511F">
              <w:rPr>
                <w:sz w:val="22"/>
                <w:szCs w:val="22"/>
              </w:rPr>
              <w:t>Deliver workstream objectives</w:t>
            </w:r>
          </w:p>
          <w:p w14:paraId="274DD9A8" w14:textId="77777777" w:rsidR="005A0D22" w:rsidRPr="00DA511F" w:rsidRDefault="005A0D22" w:rsidP="0078718A">
            <w:pPr>
              <w:rPr>
                <w:sz w:val="22"/>
                <w:szCs w:val="22"/>
              </w:rPr>
            </w:pPr>
            <w:r w:rsidRPr="00DA511F">
              <w:rPr>
                <w:sz w:val="22"/>
                <w:szCs w:val="22"/>
              </w:rPr>
              <w:t>Report progress</w:t>
            </w:r>
          </w:p>
          <w:p w14:paraId="54AB6A98" w14:textId="77777777" w:rsidR="005A0D22" w:rsidRDefault="005A0D22" w:rsidP="0078718A">
            <w:pPr>
              <w:rPr>
                <w:sz w:val="22"/>
                <w:szCs w:val="22"/>
              </w:rPr>
            </w:pPr>
            <w:r w:rsidRPr="00DA511F">
              <w:rPr>
                <w:sz w:val="22"/>
                <w:szCs w:val="22"/>
              </w:rPr>
              <w:t>Identify risks and mitigations</w:t>
            </w:r>
          </w:p>
          <w:p w14:paraId="3FD7A63F" w14:textId="318C4452" w:rsidR="00FA6887" w:rsidRDefault="00FA6887" w:rsidP="00787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Colla</w:t>
            </w:r>
            <w:r w:rsidR="00CC62AA">
              <w:rPr>
                <w:sz w:val="22"/>
                <w:szCs w:val="22"/>
              </w:rPr>
              <w:t>te evidence of delivery and impact</w:t>
            </w:r>
          </w:p>
          <w:p w14:paraId="387EEEDD" w14:textId="77777777" w:rsidR="00242B22" w:rsidRDefault="00242B22" w:rsidP="00787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Interface </w:t>
            </w:r>
            <w:r w:rsidR="00CC62AA">
              <w:rPr>
                <w:sz w:val="22"/>
                <w:szCs w:val="22"/>
              </w:rPr>
              <w:t xml:space="preserve">with </w:t>
            </w:r>
            <w:r>
              <w:rPr>
                <w:sz w:val="22"/>
                <w:szCs w:val="22"/>
              </w:rPr>
              <w:t>key stakeholders releva</w:t>
            </w:r>
            <w:r w:rsidR="00EB2E59">
              <w:rPr>
                <w:sz w:val="22"/>
                <w:szCs w:val="22"/>
              </w:rPr>
              <w:t>nt to workstream objectives</w:t>
            </w:r>
          </w:p>
          <w:p w14:paraId="43430F31" w14:textId="6184716F" w:rsidR="001264E1" w:rsidRPr="00DA511F" w:rsidRDefault="001264E1" w:rsidP="00787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Contribute to dissemination plan</w:t>
            </w:r>
          </w:p>
        </w:tc>
        <w:tc>
          <w:tcPr>
            <w:tcW w:w="2896" w:type="dxa"/>
          </w:tcPr>
          <w:p w14:paraId="23ECFAEE" w14:textId="50CEFE9D" w:rsidR="005A0D22" w:rsidRPr="00DA511F" w:rsidRDefault="005A0D22" w:rsidP="0078718A">
            <w:pPr>
              <w:rPr>
                <w:sz w:val="22"/>
                <w:szCs w:val="22"/>
              </w:rPr>
            </w:pPr>
            <w:r w:rsidRPr="00DA511F">
              <w:rPr>
                <w:sz w:val="22"/>
                <w:szCs w:val="22"/>
              </w:rPr>
              <w:t>Partner designated lead</w:t>
            </w:r>
          </w:p>
          <w:p w14:paraId="5A78FDBE" w14:textId="7A2977FC" w:rsidR="0078718A" w:rsidRPr="00DA511F" w:rsidRDefault="00F4053C" w:rsidP="0078718A">
            <w:pPr>
              <w:rPr>
                <w:sz w:val="22"/>
                <w:szCs w:val="22"/>
              </w:rPr>
            </w:pPr>
            <w:r w:rsidRPr="00DA511F">
              <w:rPr>
                <w:sz w:val="22"/>
                <w:szCs w:val="22"/>
              </w:rPr>
              <w:t>Monthly online meetings</w:t>
            </w:r>
            <w:r w:rsidRPr="00DA511F">
              <w:rPr>
                <w:sz w:val="22"/>
                <w:szCs w:val="22"/>
              </w:rPr>
              <w:t xml:space="preserve"> </w:t>
            </w:r>
            <w:r w:rsidR="006C2805" w:rsidRPr="00DA511F">
              <w:rPr>
                <w:sz w:val="22"/>
                <w:szCs w:val="22"/>
              </w:rPr>
              <w:t>per workstream</w:t>
            </w:r>
          </w:p>
          <w:p w14:paraId="4570FA9D" w14:textId="1D7C503E" w:rsidR="00CD32AE" w:rsidRPr="00DA511F" w:rsidRDefault="00CD32AE" w:rsidP="0078718A">
            <w:pPr>
              <w:rPr>
                <w:sz w:val="22"/>
                <w:szCs w:val="22"/>
              </w:rPr>
            </w:pPr>
            <w:r w:rsidRPr="00DA511F">
              <w:rPr>
                <w:sz w:val="22"/>
                <w:szCs w:val="22"/>
              </w:rPr>
              <w:t>Partnership communications hub</w:t>
            </w:r>
          </w:p>
          <w:p w14:paraId="7EAA99B2" w14:textId="21529685" w:rsidR="005A0D22" w:rsidRPr="00DA511F" w:rsidRDefault="005A0D22" w:rsidP="0078718A">
            <w:pPr>
              <w:rPr>
                <w:sz w:val="22"/>
                <w:szCs w:val="22"/>
              </w:rPr>
            </w:pPr>
          </w:p>
        </w:tc>
        <w:tc>
          <w:tcPr>
            <w:tcW w:w="3108" w:type="dxa"/>
            <w:gridSpan w:val="2"/>
          </w:tcPr>
          <w:p w14:paraId="269ACB7E" w14:textId="46B19FF8" w:rsidR="008B7342" w:rsidRPr="00DA511F" w:rsidRDefault="008B7342" w:rsidP="008B7342">
            <w:pPr>
              <w:ind w:right="5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Access to i</w:t>
            </w:r>
            <w:r w:rsidRPr="00DA511F">
              <w:rPr>
                <w:sz w:val="22"/>
                <w:szCs w:val="22"/>
              </w:rPr>
              <w:t>nstitional subject matter experts (NSS)</w:t>
            </w:r>
          </w:p>
          <w:p w14:paraId="2A42075F" w14:textId="7A3DDFBE" w:rsidR="0078718A" w:rsidRPr="00DA511F" w:rsidRDefault="008B7342" w:rsidP="008B7342">
            <w:pPr>
              <w:ind w:right="561"/>
              <w:rPr>
                <w:sz w:val="22"/>
                <w:szCs w:val="22"/>
              </w:rPr>
            </w:pPr>
            <w:r w:rsidRPr="00DA511F">
              <w:rPr>
                <w:sz w:val="22"/>
                <w:szCs w:val="22"/>
              </w:rPr>
              <w:t>Data governance, cyber security, clinical leadership (</w:t>
            </w:r>
            <w:r w:rsidR="0012620B">
              <w:rPr>
                <w:sz w:val="22"/>
                <w:szCs w:val="22"/>
              </w:rPr>
              <w:t xml:space="preserve">nursing, </w:t>
            </w:r>
            <w:r w:rsidRPr="00DA511F">
              <w:rPr>
                <w:sz w:val="22"/>
                <w:szCs w:val="22"/>
              </w:rPr>
              <w:t>medical, pharmaceutical, healthcare science); ARHAI (healthcare associated infection); Research Governance; Service User Research; Marcomms.</w:t>
            </w:r>
          </w:p>
        </w:tc>
      </w:tr>
      <w:tr w:rsidR="002B44D7" w:rsidRPr="00DA511F" w14:paraId="534ADDE3" w14:textId="1FA2FB6F" w:rsidTr="00867341">
        <w:tc>
          <w:tcPr>
            <w:tcW w:w="1980" w:type="dxa"/>
            <w:vAlign w:val="center"/>
          </w:tcPr>
          <w:p w14:paraId="7B421F3E" w14:textId="7E014F3B" w:rsidR="0078718A" w:rsidRPr="00DA511F" w:rsidRDefault="009A2362" w:rsidP="002B66D4">
            <w:pPr>
              <w:rPr>
                <w:sz w:val="22"/>
                <w:szCs w:val="22"/>
              </w:rPr>
            </w:pPr>
            <w:r w:rsidRPr="00DA511F">
              <w:rPr>
                <w:sz w:val="22"/>
                <w:szCs w:val="22"/>
              </w:rPr>
              <w:t>Research Advisory Group</w:t>
            </w:r>
          </w:p>
        </w:tc>
        <w:tc>
          <w:tcPr>
            <w:tcW w:w="3426" w:type="dxa"/>
          </w:tcPr>
          <w:p w14:paraId="2C847830" w14:textId="76C346EF" w:rsidR="0078718A" w:rsidRDefault="00614AD1" w:rsidP="00787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Academic engagement with research elements of pro</w:t>
            </w:r>
            <w:r w:rsidR="00867341">
              <w:rPr>
                <w:sz w:val="22"/>
                <w:szCs w:val="22"/>
              </w:rPr>
              <w:t>ject</w:t>
            </w:r>
          </w:p>
          <w:p w14:paraId="33063331" w14:textId="77777777" w:rsidR="001B3693" w:rsidRDefault="001B3693" w:rsidP="0078718A">
            <w:pPr>
              <w:rPr>
                <w:sz w:val="22"/>
                <w:szCs w:val="22"/>
              </w:rPr>
            </w:pPr>
          </w:p>
          <w:p w14:paraId="4657CE44" w14:textId="77777777" w:rsidR="001B3693" w:rsidRDefault="001B3693" w:rsidP="00787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Membership: invited academic specialists from each partner country and EUPUP</w:t>
            </w:r>
          </w:p>
          <w:p w14:paraId="1358F3E8" w14:textId="77777777" w:rsidR="001B3693" w:rsidRDefault="001B3693" w:rsidP="00787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Chair: </w:t>
            </w:r>
            <w:r w:rsidR="00486949">
              <w:rPr>
                <w:sz w:val="22"/>
                <w:szCs w:val="22"/>
              </w:rPr>
              <w:t>champion</w:t>
            </w:r>
          </w:p>
          <w:p w14:paraId="32B5833D" w14:textId="71505F66" w:rsidR="00A016FD" w:rsidRPr="00DA511F" w:rsidRDefault="00A016FD" w:rsidP="00787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Secretariat: Project Co-ordinator</w:t>
            </w:r>
          </w:p>
        </w:tc>
        <w:tc>
          <w:tcPr>
            <w:tcW w:w="3002" w:type="dxa"/>
          </w:tcPr>
          <w:p w14:paraId="311CFCED" w14:textId="77777777" w:rsidR="0078718A" w:rsidRDefault="00614AD1" w:rsidP="00787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Advise on research methods and analysis</w:t>
            </w:r>
          </w:p>
          <w:p w14:paraId="1200A0D6" w14:textId="77777777" w:rsidR="001B3693" w:rsidRDefault="001B3693" w:rsidP="00787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Connect PhD students and interested academics</w:t>
            </w:r>
          </w:p>
          <w:p w14:paraId="78787C6B" w14:textId="0C41E363" w:rsidR="001B3693" w:rsidRPr="00DA511F" w:rsidRDefault="001B3693" w:rsidP="00787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Connect project findings with further research and professional teaching functions</w:t>
            </w:r>
          </w:p>
        </w:tc>
        <w:tc>
          <w:tcPr>
            <w:tcW w:w="2927" w:type="dxa"/>
            <w:gridSpan w:val="2"/>
          </w:tcPr>
          <w:p w14:paraId="46AFEDF6" w14:textId="77777777" w:rsidR="0078718A" w:rsidRDefault="007D6E8E" w:rsidP="00787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Meet online 6 monthly for project duration</w:t>
            </w:r>
          </w:p>
          <w:p w14:paraId="414A1D17" w14:textId="6F6A5901" w:rsidR="002A62B2" w:rsidRPr="00DA511F" w:rsidRDefault="002A62B2" w:rsidP="00787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Potential legacy meetings post-project completion</w:t>
            </w:r>
          </w:p>
        </w:tc>
        <w:tc>
          <w:tcPr>
            <w:tcW w:w="3077" w:type="dxa"/>
          </w:tcPr>
          <w:p w14:paraId="4A948686" w14:textId="540B7DEF" w:rsidR="0078718A" w:rsidRPr="00DA511F" w:rsidRDefault="002A62B2" w:rsidP="0078718A">
            <w:pPr>
              <w:ind w:right="5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Access to academic knowledge and networks in host countries / across EU</w:t>
            </w:r>
          </w:p>
        </w:tc>
      </w:tr>
      <w:tr w:rsidR="002B44D7" w:rsidRPr="00DA511F" w14:paraId="029B7F8B" w14:textId="2FA63045" w:rsidTr="00867341">
        <w:trPr>
          <w:trHeight w:val="570"/>
        </w:trPr>
        <w:tc>
          <w:tcPr>
            <w:tcW w:w="1980" w:type="dxa"/>
            <w:vAlign w:val="center"/>
          </w:tcPr>
          <w:p w14:paraId="44CFA747" w14:textId="5CDEE628" w:rsidR="0078718A" w:rsidRPr="00DA511F" w:rsidRDefault="009A2362" w:rsidP="002B66D4">
            <w:pPr>
              <w:rPr>
                <w:sz w:val="22"/>
                <w:szCs w:val="22"/>
              </w:rPr>
            </w:pPr>
            <w:r w:rsidRPr="00DA511F">
              <w:rPr>
                <w:sz w:val="22"/>
                <w:szCs w:val="22"/>
              </w:rPr>
              <w:t>Champion</w:t>
            </w:r>
            <w:r w:rsidR="00EE090F" w:rsidRPr="00DA511F">
              <w:rPr>
                <w:sz w:val="22"/>
                <w:szCs w:val="22"/>
              </w:rPr>
              <w:t xml:space="preserve"> stakeholder group</w:t>
            </w:r>
          </w:p>
        </w:tc>
        <w:tc>
          <w:tcPr>
            <w:tcW w:w="3426" w:type="dxa"/>
          </w:tcPr>
          <w:p w14:paraId="39328122" w14:textId="77777777" w:rsidR="0078718A" w:rsidRDefault="002A62B2" w:rsidP="00787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Policy </w:t>
            </w:r>
            <w:r w:rsidR="006922E9">
              <w:rPr>
                <w:sz w:val="22"/>
                <w:szCs w:val="22"/>
              </w:rPr>
              <w:t xml:space="preserve">and professional </w:t>
            </w:r>
            <w:r>
              <w:rPr>
                <w:sz w:val="22"/>
                <w:szCs w:val="22"/>
              </w:rPr>
              <w:t xml:space="preserve">engagement with </w:t>
            </w:r>
            <w:r w:rsidR="006922E9">
              <w:rPr>
                <w:sz w:val="22"/>
                <w:szCs w:val="22"/>
              </w:rPr>
              <w:t>identified champions to inform project implementation and dissemination</w:t>
            </w:r>
          </w:p>
          <w:p w14:paraId="0B5C6D18" w14:textId="77777777" w:rsidR="006922E9" w:rsidRDefault="006922E9" w:rsidP="0078718A">
            <w:pPr>
              <w:rPr>
                <w:sz w:val="22"/>
                <w:szCs w:val="22"/>
              </w:rPr>
            </w:pPr>
          </w:p>
          <w:p w14:paraId="423B9472" w14:textId="77777777" w:rsidR="006922E9" w:rsidRDefault="006922E9" w:rsidP="00787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Membersip: invited champions</w:t>
            </w:r>
            <w:r w:rsidR="00486949">
              <w:rPr>
                <w:sz w:val="22"/>
                <w:szCs w:val="22"/>
              </w:rPr>
              <w:t xml:space="preserve"> from each partner country</w:t>
            </w:r>
          </w:p>
          <w:p w14:paraId="5600B6B1" w14:textId="77777777" w:rsidR="00486949" w:rsidRDefault="00486949" w:rsidP="00787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Chair: champion</w:t>
            </w:r>
          </w:p>
          <w:p w14:paraId="6D512602" w14:textId="2B394203" w:rsidR="00A016FD" w:rsidRPr="00DA511F" w:rsidRDefault="00A016FD" w:rsidP="00787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Secretariat: Project Co-ordinator</w:t>
            </w:r>
          </w:p>
        </w:tc>
        <w:tc>
          <w:tcPr>
            <w:tcW w:w="3002" w:type="dxa"/>
          </w:tcPr>
          <w:p w14:paraId="7E1BAE1C" w14:textId="77777777" w:rsidR="0078718A" w:rsidRDefault="003956FB" w:rsidP="00787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Advise on policy engagement and promotion to professional bodies to stimulate practice development</w:t>
            </w:r>
          </w:p>
          <w:p w14:paraId="2930B12A" w14:textId="77777777" w:rsidR="00F01910" w:rsidRDefault="00F01910" w:rsidP="00787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Connect project findings to emerging policy initiatives</w:t>
            </w:r>
          </w:p>
          <w:p w14:paraId="5D2C050C" w14:textId="6E71EE79" w:rsidR="00867341" w:rsidRPr="00DA511F" w:rsidRDefault="00867341" w:rsidP="00787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Connect project resources to accrediting bodies</w:t>
            </w:r>
          </w:p>
        </w:tc>
        <w:tc>
          <w:tcPr>
            <w:tcW w:w="2927" w:type="dxa"/>
            <w:gridSpan w:val="2"/>
          </w:tcPr>
          <w:p w14:paraId="587241C1" w14:textId="77777777" w:rsidR="00A016FD" w:rsidRDefault="00A016FD" w:rsidP="00A01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Meet online 6 monthly for project duration</w:t>
            </w:r>
          </w:p>
          <w:p w14:paraId="7CCA93F8" w14:textId="3251740A" w:rsidR="0078718A" w:rsidRPr="00DA511F" w:rsidRDefault="00A016FD" w:rsidP="00A01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Potential legacy meetings post-project completion</w:t>
            </w:r>
          </w:p>
        </w:tc>
        <w:tc>
          <w:tcPr>
            <w:tcW w:w="3077" w:type="dxa"/>
          </w:tcPr>
          <w:p w14:paraId="15968E8D" w14:textId="53ED8316" w:rsidR="0078718A" w:rsidRPr="00DA511F" w:rsidRDefault="00ED351F" w:rsidP="0078718A">
            <w:pPr>
              <w:ind w:right="5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 policy networks, civil society associations</w:t>
            </w:r>
            <w:r w:rsidR="001E1F2A">
              <w:rPr>
                <w:sz w:val="22"/>
                <w:szCs w:val="22"/>
              </w:rPr>
              <w:t>, professional associations</w:t>
            </w:r>
          </w:p>
        </w:tc>
      </w:tr>
    </w:tbl>
    <w:p w14:paraId="2E480D03" w14:textId="77777777" w:rsidR="007F3646" w:rsidRDefault="007F3646" w:rsidP="00337A27"/>
    <w:p w14:paraId="747A35A0" w14:textId="36BD990D" w:rsidR="007E1E35" w:rsidRPr="00672411" w:rsidRDefault="007E1E35" w:rsidP="00337A27">
      <w:pPr>
        <w:rPr>
          <w:b/>
          <w:bCs/>
        </w:rPr>
      </w:pPr>
      <w:r w:rsidRPr="00672411">
        <w:rPr>
          <w:b/>
          <w:bCs/>
        </w:rPr>
        <w:t>Key elements of partner collaboration</w:t>
      </w:r>
    </w:p>
    <w:p w14:paraId="42DD5DAA" w14:textId="60D83921" w:rsidR="002E76CF" w:rsidRDefault="00D70E84" w:rsidP="00323847">
      <w:pPr>
        <w:pStyle w:val="ListParagraph"/>
        <w:numPr>
          <w:ilvl w:val="0"/>
          <w:numId w:val="4"/>
        </w:numPr>
      </w:pPr>
      <w:r>
        <w:t>V</w:t>
      </w:r>
      <w:r w:rsidR="002E76CF">
        <w:t xml:space="preserve">irtual </w:t>
      </w:r>
      <w:r w:rsidR="00323847">
        <w:t>meetings</w:t>
      </w:r>
      <w:r>
        <w:t xml:space="preserve"> recorded with stored transcripts (i.e. for partner translation) backed by </w:t>
      </w:r>
      <w:r w:rsidR="00A016FD">
        <w:t>electronic documents (agenda, minute, action log, highlight reports, papers/recommendations for decision)</w:t>
      </w:r>
    </w:p>
    <w:p w14:paraId="3A132BB9" w14:textId="7CB11398" w:rsidR="007E1E35" w:rsidRDefault="007A7F8A" w:rsidP="00323847">
      <w:pPr>
        <w:pStyle w:val="ListParagraph"/>
        <w:numPr>
          <w:ilvl w:val="0"/>
          <w:numId w:val="4"/>
        </w:numPr>
      </w:pPr>
      <w:r>
        <w:t>Template reporting, logging</w:t>
      </w:r>
      <w:r w:rsidR="00486A81">
        <w:t>, risk matrix, comms</w:t>
      </w:r>
      <w:r w:rsidR="00A9089E">
        <w:t xml:space="preserve"> (see Dissemination Plan)</w:t>
      </w:r>
    </w:p>
    <w:p w14:paraId="5E5AA36A" w14:textId="6C90F820" w:rsidR="00FE64E8" w:rsidRDefault="00375E82" w:rsidP="00323847">
      <w:pPr>
        <w:pStyle w:val="ListParagraph"/>
        <w:numPr>
          <w:ilvl w:val="0"/>
          <w:numId w:val="4"/>
        </w:numPr>
      </w:pPr>
      <w:r>
        <w:t xml:space="preserve">Partner commitment to </w:t>
      </w:r>
      <w:r w:rsidR="00396508">
        <w:t xml:space="preserve">delivery of </w:t>
      </w:r>
      <w:r>
        <w:t>collaborative workplans for dissemination activity</w:t>
      </w:r>
    </w:p>
    <w:p w14:paraId="0B9514C8" w14:textId="1F9FE8A8" w:rsidR="00375E82" w:rsidRDefault="00975CAD" w:rsidP="00323847">
      <w:pPr>
        <w:pStyle w:val="ListParagraph"/>
        <w:numPr>
          <w:ilvl w:val="0"/>
          <w:numId w:val="4"/>
        </w:numPr>
      </w:pPr>
      <w:r>
        <w:t xml:space="preserve">Each partner provides a resilience and business continuity plan for </w:t>
      </w:r>
      <w:r w:rsidR="006C4F14">
        <w:t xml:space="preserve">key risks to project implementation (absence of key personnel, </w:t>
      </w:r>
      <w:r w:rsidR="00664729">
        <w:t>institution response to new health threat etc)</w:t>
      </w:r>
    </w:p>
    <w:p w14:paraId="4128555C" w14:textId="69398FB0" w:rsidR="000908AC" w:rsidRPr="00396508" w:rsidRDefault="009D21CC" w:rsidP="00F90CBE">
      <w:pPr>
        <w:rPr>
          <w:b/>
          <w:bCs/>
        </w:rPr>
      </w:pPr>
      <w:r w:rsidRPr="00396508">
        <w:rPr>
          <w:b/>
          <w:bCs/>
        </w:rPr>
        <w:t>To facilitate collaboration:</w:t>
      </w:r>
    </w:p>
    <w:p w14:paraId="1EB4DA22" w14:textId="77777777" w:rsidR="009D21CC" w:rsidRDefault="009D21CC" w:rsidP="00F90CBE"/>
    <w:p w14:paraId="5B99C0FB" w14:textId="15C71F0C" w:rsidR="009D21CC" w:rsidRDefault="009D21CC" w:rsidP="001D1E1B">
      <w:pPr>
        <w:pStyle w:val="ListParagraph"/>
        <w:numPr>
          <w:ilvl w:val="0"/>
          <w:numId w:val="1"/>
        </w:numPr>
      </w:pPr>
      <w:r>
        <w:t>Secure partner collaboration platform: repository of all data, documentation</w:t>
      </w:r>
      <w:r w:rsidR="00E62C4F">
        <w:t>, resources, plans</w:t>
      </w:r>
      <w:r w:rsidR="00C16A6D">
        <w:t>,</w:t>
      </w:r>
      <w:r w:rsidR="00E62C4F">
        <w:t xml:space="preserve"> reports, contacts</w:t>
      </w:r>
      <w:r w:rsidR="00C16A6D">
        <w:t>.</w:t>
      </w:r>
    </w:p>
    <w:p w14:paraId="55C4180A" w14:textId="2B5F637D" w:rsidR="00C16A6D" w:rsidRDefault="00C16A6D" w:rsidP="001D1E1B">
      <w:pPr>
        <w:pStyle w:val="ListParagraph"/>
        <w:numPr>
          <w:ilvl w:val="0"/>
          <w:numId w:val="1"/>
        </w:numPr>
      </w:pPr>
      <w:r>
        <w:t>Secure messaging app</w:t>
      </w:r>
      <w:r w:rsidR="00A55241">
        <w:t>/channel</w:t>
      </w:r>
      <w:r>
        <w:t xml:space="preserve">: </w:t>
      </w:r>
      <w:r w:rsidR="00F629AD">
        <w:t>informal updates, news, questions and commentary</w:t>
      </w:r>
    </w:p>
    <w:p w14:paraId="2F1C2F72" w14:textId="42372F7F" w:rsidR="00063680" w:rsidRDefault="00063680" w:rsidP="001D1E1B">
      <w:pPr>
        <w:pStyle w:val="ListParagraph"/>
        <w:numPr>
          <w:ilvl w:val="0"/>
          <w:numId w:val="1"/>
        </w:numPr>
      </w:pPr>
      <w:r>
        <w:t>Video conferencing</w:t>
      </w:r>
      <w:r w:rsidR="008B6B1D">
        <w:t xml:space="preserve"> and transcript</w:t>
      </w:r>
      <w:r>
        <w:t xml:space="preserve">: </w:t>
      </w:r>
      <w:r w:rsidR="008B6B1D">
        <w:t>preferred method of dialogue between partners</w:t>
      </w:r>
      <w:r w:rsidR="003345D0">
        <w:t xml:space="preserve"> for routine and informal meetings and discussion</w:t>
      </w:r>
    </w:p>
    <w:p w14:paraId="7CD510C2" w14:textId="5BDD4751" w:rsidR="003345D0" w:rsidRDefault="003345D0" w:rsidP="001D1E1B">
      <w:pPr>
        <w:pStyle w:val="ListParagraph"/>
        <w:numPr>
          <w:ilvl w:val="0"/>
          <w:numId w:val="1"/>
        </w:numPr>
      </w:pPr>
      <w:r>
        <w:t>Face to face</w:t>
      </w:r>
      <w:r w:rsidR="008F5566">
        <w:t xml:space="preserve"> country visits: commitment to minimum attendance at </w:t>
      </w:r>
      <w:r w:rsidR="00CC5F97">
        <w:t>partner collaboration events in each country</w:t>
      </w:r>
    </w:p>
    <w:p w14:paraId="36C8C5C1" w14:textId="77777777" w:rsidR="0074440F" w:rsidRDefault="0074440F" w:rsidP="00F90CBE"/>
    <w:p w14:paraId="30A7D5AB" w14:textId="24D7BFBA" w:rsidR="0074440F" w:rsidRPr="00396508" w:rsidRDefault="0074440F" w:rsidP="00F90CBE">
      <w:pPr>
        <w:rPr>
          <w:b/>
          <w:bCs/>
        </w:rPr>
      </w:pPr>
      <w:r w:rsidRPr="00396508">
        <w:rPr>
          <w:b/>
          <w:bCs/>
        </w:rPr>
        <w:t>Partner agreements:</w:t>
      </w:r>
    </w:p>
    <w:p w14:paraId="35287A7B" w14:textId="77777777" w:rsidR="0074440F" w:rsidRPr="00650143" w:rsidRDefault="0074440F" w:rsidP="00F90CBE"/>
    <w:p w14:paraId="5B08A383" w14:textId="347D8281" w:rsidR="00C93B4D" w:rsidRDefault="001D1E1B" w:rsidP="001D1E1B">
      <w:pPr>
        <w:pStyle w:val="ListParagraph"/>
        <w:numPr>
          <w:ilvl w:val="0"/>
          <w:numId w:val="2"/>
        </w:numPr>
      </w:pPr>
      <w:r>
        <w:t>Data governance, template consent</w:t>
      </w:r>
      <w:r w:rsidR="009810BF">
        <w:t xml:space="preserve"> and DPIA</w:t>
      </w:r>
    </w:p>
    <w:p w14:paraId="16660A47" w14:textId="71A9623E" w:rsidR="009810BF" w:rsidRDefault="009810BF" w:rsidP="001D1E1B">
      <w:pPr>
        <w:pStyle w:val="ListParagraph"/>
        <w:numPr>
          <w:ilvl w:val="0"/>
          <w:numId w:val="2"/>
        </w:numPr>
      </w:pPr>
      <w:r>
        <w:t>Open access</w:t>
      </w:r>
      <w:r w:rsidR="005E3A56">
        <w:t xml:space="preserve"> and dissemination of all reports, resources, deliverables and data</w:t>
      </w:r>
    </w:p>
    <w:p w14:paraId="26D85076" w14:textId="3DFDA0EF" w:rsidR="005E3A56" w:rsidRDefault="005E3A56" w:rsidP="001D1E1B">
      <w:pPr>
        <w:pStyle w:val="ListParagraph"/>
        <w:numPr>
          <w:ilvl w:val="0"/>
          <w:numId w:val="2"/>
        </w:numPr>
      </w:pPr>
      <w:r>
        <w:t>Communications guidelines</w:t>
      </w:r>
      <w:r w:rsidR="00F11D9D">
        <w:t xml:space="preserve"> and templates for project identity, media positioning</w:t>
      </w:r>
      <w:r w:rsidR="00801930">
        <w:t>, links to EPPPI website and social media from partner sites and stakeholder sit</w:t>
      </w:r>
      <w:r w:rsidR="00B56515">
        <w:t>e</w:t>
      </w:r>
      <w:r w:rsidR="00801930">
        <w:t>s</w:t>
      </w:r>
    </w:p>
    <w:p w14:paraId="41E162CD" w14:textId="4A1D3440" w:rsidR="008109E6" w:rsidRDefault="008109E6" w:rsidP="001D1E1B">
      <w:pPr>
        <w:pStyle w:val="ListParagraph"/>
        <w:numPr>
          <w:ilvl w:val="0"/>
          <w:numId w:val="2"/>
        </w:numPr>
      </w:pPr>
      <w:r>
        <w:t>Contribution and dissemination commitments via partner</w:t>
      </w:r>
      <w:r w:rsidR="00131442">
        <w:t xml:space="preserve"> institution comms resources</w:t>
      </w:r>
    </w:p>
    <w:p w14:paraId="5D8B32DE" w14:textId="563622BB" w:rsidR="00131442" w:rsidRDefault="007465D1" w:rsidP="00131442">
      <w:pPr>
        <w:pStyle w:val="ListParagraph"/>
        <w:numPr>
          <w:ilvl w:val="0"/>
          <w:numId w:val="2"/>
        </w:numPr>
      </w:pPr>
      <w:r>
        <w:t xml:space="preserve">Log compilation </w:t>
      </w:r>
    </w:p>
    <w:p w14:paraId="4B2BFF33" w14:textId="6F39BFC9" w:rsidR="00A62241" w:rsidRDefault="00B03F4D" w:rsidP="00506F98">
      <w:pPr>
        <w:rPr>
          <w:b/>
          <w:bCs/>
        </w:rPr>
      </w:pPr>
      <w:r>
        <w:rPr>
          <w:b/>
          <w:bCs/>
        </w:rPr>
        <w:lastRenderedPageBreak/>
        <w:t>Workstreams</w:t>
      </w:r>
      <w:r w:rsidR="00236C2A">
        <w:rPr>
          <w:b/>
          <w:bCs/>
        </w:rPr>
        <w:t xml:space="preserve"> - outline</w:t>
      </w:r>
    </w:p>
    <w:p w14:paraId="53E8411A" w14:textId="77777777" w:rsidR="00B03F4D" w:rsidRDefault="00B03F4D" w:rsidP="00506F9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3411"/>
        <w:gridCol w:w="2790"/>
        <w:gridCol w:w="2790"/>
      </w:tblGrid>
      <w:tr w:rsidR="00485AAF" w14:paraId="2A114674" w14:textId="77777777" w:rsidTr="009C56AF">
        <w:tc>
          <w:tcPr>
            <w:tcW w:w="2263" w:type="dxa"/>
          </w:tcPr>
          <w:p w14:paraId="5A44D96E" w14:textId="16B36E44" w:rsidR="00485AAF" w:rsidRPr="00654751" w:rsidRDefault="00485AAF" w:rsidP="00654751">
            <w:pPr>
              <w:jc w:val="center"/>
              <w:rPr>
                <w:b/>
                <w:bCs/>
              </w:rPr>
            </w:pPr>
            <w:r w:rsidRPr="00654751">
              <w:rPr>
                <w:b/>
                <w:bCs/>
              </w:rPr>
              <w:t>Work package</w:t>
            </w:r>
          </w:p>
        </w:tc>
        <w:tc>
          <w:tcPr>
            <w:tcW w:w="2694" w:type="dxa"/>
          </w:tcPr>
          <w:p w14:paraId="1E5633DE" w14:textId="51CFCEAE" w:rsidR="00485AAF" w:rsidRPr="00654751" w:rsidRDefault="00485AAF" w:rsidP="00654751">
            <w:pPr>
              <w:jc w:val="center"/>
              <w:rPr>
                <w:b/>
                <w:bCs/>
              </w:rPr>
            </w:pPr>
            <w:r w:rsidRPr="00654751">
              <w:rPr>
                <w:b/>
                <w:bCs/>
              </w:rPr>
              <w:t>Objective</w:t>
            </w:r>
          </w:p>
        </w:tc>
        <w:tc>
          <w:tcPr>
            <w:tcW w:w="3411" w:type="dxa"/>
          </w:tcPr>
          <w:p w14:paraId="6C109C7E" w14:textId="5CB1E383" w:rsidR="00485AAF" w:rsidRPr="00654751" w:rsidRDefault="00485AAF" w:rsidP="00654751">
            <w:pPr>
              <w:jc w:val="center"/>
              <w:rPr>
                <w:b/>
                <w:bCs/>
              </w:rPr>
            </w:pPr>
            <w:r w:rsidRPr="00654751">
              <w:rPr>
                <w:b/>
                <w:bCs/>
              </w:rPr>
              <w:t>Activities</w:t>
            </w:r>
          </w:p>
        </w:tc>
        <w:tc>
          <w:tcPr>
            <w:tcW w:w="2790" w:type="dxa"/>
          </w:tcPr>
          <w:p w14:paraId="54508D9A" w14:textId="2F7204B6" w:rsidR="00485AAF" w:rsidRPr="00654751" w:rsidRDefault="00485AAF" w:rsidP="00654751">
            <w:pPr>
              <w:jc w:val="center"/>
              <w:rPr>
                <w:b/>
                <w:bCs/>
              </w:rPr>
            </w:pPr>
            <w:r w:rsidRPr="00654751">
              <w:rPr>
                <w:b/>
                <w:bCs/>
              </w:rPr>
              <w:t>Timing</w:t>
            </w:r>
          </w:p>
        </w:tc>
        <w:tc>
          <w:tcPr>
            <w:tcW w:w="2790" w:type="dxa"/>
          </w:tcPr>
          <w:p w14:paraId="3155224A" w14:textId="725BC221" w:rsidR="00485AAF" w:rsidRPr="00654751" w:rsidRDefault="00485AAF" w:rsidP="00654751">
            <w:pPr>
              <w:jc w:val="center"/>
              <w:rPr>
                <w:b/>
                <w:bCs/>
              </w:rPr>
            </w:pPr>
            <w:r w:rsidRPr="00654751">
              <w:rPr>
                <w:b/>
                <w:bCs/>
              </w:rPr>
              <w:t>Partner role</w:t>
            </w:r>
          </w:p>
        </w:tc>
      </w:tr>
      <w:tr w:rsidR="007A2C88" w14:paraId="4939C5CA" w14:textId="77777777" w:rsidTr="009C56AF">
        <w:trPr>
          <w:trHeight w:val="490"/>
        </w:trPr>
        <w:tc>
          <w:tcPr>
            <w:tcW w:w="2263" w:type="dxa"/>
            <w:vMerge w:val="restart"/>
            <w:shd w:val="clear" w:color="auto" w:fill="D9D9D9" w:themeFill="background1" w:themeFillShade="D9"/>
          </w:tcPr>
          <w:p w14:paraId="2CF1476E" w14:textId="1265FDBE" w:rsidR="007A2C88" w:rsidRPr="00C11762" w:rsidRDefault="007A2C88" w:rsidP="00485AAF">
            <w:pPr>
              <w:rPr>
                <w:b/>
                <w:bCs/>
              </w:rPr>
            </w:pPr>
            <w:r>
              <w:t xml:space="preserve">Acute Care pathway </w:t>
            </w:r>
            <w:r w:rsidRPr="00C11762">
              <w:rPr>
                <w:b/>
                <w:bCs/>
              </w:rPr>
              <w:t>WP 3</w:t>
            </w:r>
          </w:p>
          <w:p w14:paraId="0A40E920" w14:textId="77777777" w:rsidR="009C56AF" w:rsidRDefault="009C56AF" w:rsidP="00485AAF"/>
          <w:p w14:paraId="0643A200" w14:textId="6BE34E54" w:rsidR="007A2C88" w:rsidRDefault="007A2C88" w:rsidP="00485AAF">
            <w:r>
              <w:t xml:space="preserve">Care at Home pathway </w:t>
            </w:r>
            <w:r w:rsidRPr="00C11762">
              <w:rPr>
                <w:b/>
                <w:bCs/>
              </w:rPr>
              <w:t>WP2</w:t>
            </w:r>
          </w:p>
        </w:tc>
        <w:tc>
          <w:tcPr>
            <w:tcW w:w="2694" w:type="dxa"/>
            <w:vMerge w:val="restart"/>
          </w:tcPr>
          <w:p w14:paraId="5664ABE9" w14:textId="738C7113" w:rsidR="007A2C88" w:rsidRPr="00595ED9" w:rsidRDefault="007A2C88" w:rsidP="00595ED9">
            <w:pPr>
              <w:rPr>
                <w:lang w:val="en-GB"/>
              </w:rPr>
            </w:pPr>
            <w:r>
              <w:rPr>
                <w:lang w:val="en-GB"/>
              </w:rPr>
              <w:t>1.</w:t>
            </w:r>
            <w:r w:rsidRPr="00595ED9">
              <w:rPr>
                <w:lang w:val="en-GB"/>
              </w:rPr>
              <w:t>Strengthen the development of personalised PI prevention strategies, by using SEM scanner data and, where possible,</w:t>
            </w:r>
          </w:p>
          <w:p w14:paraId="6BAA975D" w14:textId="6F23E97A" w:rsidR="007A2C88" w:rsidRDefault="007A2C88" w:rsidP="000B4EB3">
            <w:r w:rsidRPr="000B4EB3">
              <w:rPr>
                <w:lang w:val="en-GB"/>
              </w:rPr>
              <w:t>using delta scoring of risk to inform and motivate patients and health care providers</w:t>
            </w:r>
          </w:p>
        </w:tc>
        <w:tc>
          <w:tcPr>
            <w:tcW w:w="3411" w:type="dxa"/>
          </w:tcPr>
          <w:p w14:paraId="0A7DC1ED" w14:textId="2C194EB2" w:rsidR="007A2C88" w:rsidRDefault="007A2C88" w:rsidP="00485AAF">
            <w:r>
              <w:t>C</w:t>
            </w:r>
            <w:r w:rsidRPr="006D3092">
              <w:t>onfirm the parameters of the Test of change</w:t>
            </w:r>
          </w:p>
        </w:tc>
        <w:tc>
          <w:tcPr>
            <w:tcW w:w="2790" w:type="dxa"/>
          </w:tcPr>
          <w:p w14:paraId="15854D62" w14:textId="66B13BCF" w:rsidR="007A2C88" w:rsidRDefault="007A2C88" w:rsidP="00485AAF">
            <w:r>
              <w:t>November-December 2024</w:t>
            </w:r>
          </w:p>
        </w:tc>
        <w:tc>
          <w:tcPr>
            <w:tcW w:w="2790" w:type="dxa"/>
          </w:tcPr>
          <w:p w14:paraId="1A0D8898" w14:textId="2E6D00D1" w:rsidR="007A2C88" w:rsidRDefault="007A2C88" w:rsidP="00485AAF">
            <w:r>
              <w:t>Poland Acute</w:t>
            </w:r>
          </w:p>
          <w:p w14:paraId="3932D252" w14:textId="65468B31" w:rsidR="007A2C88" w:rsidRDefault="007A2C88" w:rsidP="00485AAF">
            <w:r>
              <w:t>Romania HE</w:t>
            </w:r>
          </w:p>
          <w:p w14:paraId="35F6697E" w14:textId="77EA4AE8" w:rsidR="007A2C88" w:rsidRDefault="007A2C88" w:rsidP="00485AAF">
            <w:r>
              <w:t>Scotland Care</w:t>
            </w:r>
            <w:r w:rsidR="009C56AF">
              <w:t>@Home</w:t>
            </w:r>
          </w:p>
        </w:tc>
      </w:tr>
      <w:tr w:rsidR="007A2C88" w14:paraId="7DA5ECF6" w14:textId="77777777" w:rsidTr="009C56AF">
        <w:trPr>
          <w:trHeight w:val="240"/>
        </w:trPr>
        <w:tc>
          <w:tcPr>
            <w:tcW w:w="2263" w:type="dxa"/>
            <w:vMerge/>
            <w:shd w:val="clear" w:color="auto" w:fill="D9D9D9" w:themeFill="background1" w:themeFillShade="D9"/>
          </w:tcPr>
          <w:p w14:paraId="6D4617BC" w14:textId="77777777" w:rsidR="007A2C88" w:rsidRDefault="007A2C88" w:rsidP="00485AAF"/>
        </w:tc>
        <w:tc>
          <w:tcPr>
            <w:tcW w:w="2694" w:type="dxa"/>
            <w:vMerge/>
          </w:tcPr>
          <w:p w14:paraId="350971D9" w14:textId="77777777" w:rsidR="007A2C88" w:rsidRPr="000B4EB3" w:rsidRDefault="007A2C88" w:rsidP="000B4EB3">
            <w:pPr>
              <w:rPr>
                <w:lang w:val="en-GB"/>
              </w:rPr>
            </w:pPr>
          </w:p>
        </w:tc>
        <w:tc>
          <w:tcPr>
            <w:tcW w:w="3411" w:type="dxa"/>
          </w:tcPr>
          <w:p w14:paraId="466150B2" w14:textId="7DB75B1B" w:rsidR="007A2C88" w:rsidRPr="006D3092" w:rsidRDefault="007A2C88" w:rsidP="00485AAF">
            <w:r w:rsidRPr="001F488C">
              <w:t>Baseline data</w:t>
            </w:r>
          </w:p>
        </w:tc>
        <w:tc>
          <w:tcPr>
            <w:tcW w:w="2790" w:type="dxa"/>
          </w:tcPr>
          <w:p w14:paraId="1E61A5B7" w14:textId="240A7899" w:rsidR="007A2C88" w:rsidRDefault="007A2C88" w:rsidP="00485AAF">
            <w:r>
              <w:t>Jan-Mar 2025</w:t>
            </w:r>
          </w:p>
        </w:tc>
        <w:tc>
          <w:tcPr>
            <w:tcW w:w="2790" w:type="dxa"/>
          </w:tcPr>
          <w:p w14:paraId="5606ABBB" w14:textId="175F7E0B" w:rsidR="007A2C88" w:rsidRDefault="007A2C88" w:rsidP="00485AAF">
            <w:r>
              <w:t xml:space="preserve">Poland Acute </w:t>
            </w:r>
          </w:p>
          <w:p w14:paraId="231F2A49" w14:textId="3EEBE6AD" w:rsidR="007A2C88" w:rsidRDefault="007A2C88" w:rsidP="00485AAF">
            <w:r>
              <w:t>Scotland Care</w:t>
            </w:r>
            <w:r w:rsidR="009C56AF">
              <w:t>@Home</w:t>
            </w:r>
          </w:p>
        </w:tc>
      </w:tr>
      <w:tr w:rsidR="007A2C88" w14:paraId="06389D6C" w14:textId="77777777" w:rsidTr="009C56AF">
        <w:trPr>
          <w:trHeight w:val="240"/>
        </w:trPr>
        <w:tc>
          <w:tcPr>
            <w:tcW w:w="2263" w:type="dxa"/>
            <w:vMerge/>
            <w:shd w:val="clear" w:color="auto" w:fill="D9D9D9" w:themeFill="background1" w:themeFillShade="D9"/>
          </w:tcPr>
          <w:p w14:paraId="17F8EF02" w14:textId="77777777" w:rsidR="007A2C88" w:rsidRDefault="007A2C88" w:rsidP="00485AAF"/>
        </w:tc>
        <w:tc>
          <w:tcPr>
            <w:tcW w:w="2694" w:type="dxa"/>
            <w:vMerge/>
          </w:tcPr>
          <w:p w14:paraId="43F5EF13" w14:textId="77777777" w:rsidR="007A2C88" w:rsidRPr="000B4EB3" w:rsidRDefault="007A2C88" w:rsidP="000B4EB3">
            <w:pPr>
              <w:rPr>
                <w:lang w:val="en-GB"/>
              </w:rPr>
            </w:pPr>
          </w:p>
        </w:tc>
        <w:tc>
          <w:tcPr>
            <w:tcW w:w="3411" w:type="dxa"/>
          </w:tcPr>
          <w:p w14:paraId="4CE19374" w14:textId="194C1BFE" w:rsidR="007A2C88" w:rsidRPr="001F488C" w:rsidRDefault="007A2C88" w:rsidP="00485AAF">
            <w:r>
              <w:t xml:space="preserve">(WP1) </w:t>
            </w:r>
            <w:r>
              <w:t>Engage Research Advisory Group in</w:t>
            </w:r>
            <w:r>
              <w:t xml:space="preserve"> refining and strengthening research methods, advising on academic links</w:t>
            </w:r>
          </w:p>
        </w:tc>
        <w:tc>
          <w:tcPr>
            <w:tcW w:w="2790" w:type="dxa"/>
          </w:tcPr>
          <w:p w14:paraId="3ADD17A6" w14:textId="77777777" w:rsidR="007A2C88" w:rsidRDefault="007A2C88" w:rsidP="00485AAF">
            <w:r>
              <w:t xml:space="preserve">Feb-Mar 25 </w:t>
            </w:r>
          </w:p>
          <w:p w14:paraId="2DA14AD8" w14:textId="77777777" w:rsidR="007A2C88" w:rsidRDefault="007A2C88" w:rsidP="00485AAF"/>
          <w:p w14:paraId="33BFF554" w14:textId="77777777" w:rsidR="007A2C88" w:rsidRDefault="007A2C88" w:rsidP="00485AAF">
            <w:r>
              <w:t>Sept 25</w:t>
            </w:r>
          </w:p>
          <w:p w14:paraId="5D994CDA" w14:textId="77777777" w:rsidR="007A2C88" w:rsidRDefault="007A2C88" w:rsidP="00485AAF"/>
          <w:p w14:paraId="04E2A408" w14:textId="255F777C" w:rsidR="007A2C88" w:rsidRDefault="007A2C88" w:rsidP="00485AAF">
            <w:r>
              <w:t>Mar 26</w:t>
            </w:r>
          </w:p>
        </w:tc>
        <w:tc>
          <w:tcPr>
            <w:tcW w:w="2790" w:type="dxa"/>
          </w:tcPr>
          <w:p w14:paraId="12DC8AC7" w14:textId="5897CEBF" w:rsidR="00B06BA8" w:rsidRPr="009E0556" w:rsidRDefault="00B06BA8" w:rsidP="00485AAF">
            <w:pPr>
              <w:rPr>
                <w:b/>
                <w:bCs/>
              </w:rPr>
            </w:pPr>
            <w:r w:rsidRPr="009E0556">
              <w:rPr>
                <w:b/>
                <w:bCs/>
              </w:rPr>
              <w:t>NSS</w:t>
            </w:r>
          </w:p>
          <w:p w14:paraId="05BB870C" w14:textId="2293958A" w:rsidR="007A2C88" w:rsidRDefault="007A2C88" w:rsidP="00485AAF">
            <w:r>
              <w:t>All partners</w:t>
            </w:r>
          </w:p>
        </w:tc>
      </w:tr>
      <w:tr w:rsidR="007A2C88" w14:paraId="2A8B53E2" w14:textId="77777777" w:rsidTr="009C56AF">
        <w:trPr>
          <w:trHeight w:val="487"/>
        </w:trPr>
        <w:tc>
          <w:tcPr>
            <w:tcW w:w="2263" w:type="dxa"/>
            <w:vMerge/>
            <w:shd w:val="clear" w:color="auto" w:fill="D9D9D9" w:themeFill="background1" w:themeFillShade="D9"/>
          </w:tcPr>
          <w:p w14:paraId="61808D48" w14:textId="77777777" w:rsidR="007A2C88" w:rsidRDefault="007A2C88" w:rsidP="00485AAF"/>
        </w:tc>
        <w:tc>
          <w:tcPr>
            <w:tcW w:w="2694" w:type="dxa"/>
            <w:vMerge/>
          </w:tcPr>
          <w:p w14:paraId="1BB8DCFF" w14:textId="77777777" w:rsidR="007A2C88" w:rsidRPr="000B4EB3" w:rsidRDefault="007A2C88" w:rsidP="000B4EB3">
            <w:pPr>
              <w:rPr>
                <w:lang w:val="en-GB"/>
              </w:rPr>
            </w:pPr>
          </w:p>
        </w:tc>
        <w:tc>
          <w:tcPr>
            <w:tcW w:w="3411" w:type="dxa"/>
          </w:tcPr>
          <w:p w14:paraId="1E02F450" w14:textId="4FF00EE8" w:rsidR="007A2C88" w:rsidRPr="006D3092" w:rsidRDefault="007A2C88" w:rsidP="00485AAF">
            <w:r w:rsidRPr="001F488C">
              <w:t>Provide training to key actors</w:t>
            </w:r>
            <w:r>
              <w:t xml:space="preserve"> in pathways</w:t>
            </w:r>
          </w:p>
        </w:tc>
        <w:tc>
          <w:tcPr>
            <w:tcW w:w="2790" w:type="dxa"/>
          </w:tcPr>
          <w:p w14:paraId="72635416" w14:textId="2EB069A1" w:rsidR="007A2C88" w:rsidRDefault="007A2C88" w:rsidP="00485AAF">
            <w:r>
              <w:t>Feb-April 2</w:t>
            </w:r>
            <w:r w:rsidR="00224589">
              <w:t>5</w:t>
            </w:r>
          </w:p>
        </w:tc>
        <w:tc>
          <w:tcPr>
            <w:tcW w:w="2790" w:type="dxa"/>
          </w:tcPr>
          <w:p w14:paraId="6E4E4D62" w14:textId="77777777" w:rsidR="009C56AF" w:rsidRDefault="009C56AF" w:rsidP="009C56AF">
            <w:r>
              <w:t xml:space="preserve">Poland Acute </w:t>
            </w:r>
          </w:p>
          <w:p w14:paraId="679DC494" w14:textId="108F21FC" w:rsidR="007A2C88" w:rsidRDefault="009C56AF" w:rsidP="009C56AF">
            <w:r>
              <w:t>Scotland Care</w:t>
            </w:r>
            <w:r>
              <w:t>@Home</w:t>
            </w:r>
          </w:p>
        </w:tc>
      </w:tr>
      <w:tr w:rsidR="007A2C88" w14:paraId="35A4136E" w14:textId="77777777" w:rsidTr="009C56AF">
        <w:trPr>
          <w:trHeight w:val="878"/>
        </w:trPr>
        <w:tc>
          <w:tcPr>
            <w:tcW w:w="2263" w:type="dxa"/>
            <w:vMerge/>
            <w:shd w:val="clear" w:color="auto" w:fill="D9D9D9" w:themeFill="background1" w:themeFillShade="D9"/>
          </w:tcPr>
          <w:p w14:paraId="3E1DD114" w14:textId="77777777" w:rsidR="007A2C88" w:rsidRDefault="007A2C88" w:rsidP="00485AAF"/>
        </w:tc>
        <w:tc>
          <w:tcPr>
            <w:tcW w:w="2694" w:type="dxa"/>
            <w:vMerge/>
          </w:tcPr>
          <w:p w14:paraId="18EACD27" w14:textId="77777777" w:rsidR="007A2C88" w:rsidRPr="000B4EB3" w:rsidRDefault="007A2C88" w:rsidP="000B4EB3">
            <w:pPr>
              <w:rPr>
                <w:lang w:val="en-GB"/>
              </w:rPr>
            </w:pPr>
          </w:p>
        </w:tc>
        <w:tc>
          <w:tcPr>
            <w:tcW w:w="3411" w:type="dxa"/>
          </w:tcPr>
          <w:p w14:paraId="02CCFF54" w14:textId="2DDAE440" w:rsidR="007A2C88" w:rsidRPr="006D3092" w:rsidRDefault="007A2C88" w:rsidP="00485AAF">
            <w:r w:rsidRPr="001F488C">
              <w:t>Roll out the use of SEM Scanners in ACUTE CARE for patients in Cardiac Anaesthesiology and Intensive Care</w:t>
            </w:r>
          </w:p>
        </w:tc>
        <w:tc>
          <w:tcPr>
            <w:tcW w:w="2790" w:type="dxa"/>
          </w:tcPr>
          <w:p w14:paraId="0D6BE8CC" w14:textId="16ECAB99" w:rsidR="007A2C88" w:rsidRDefault="009C56AF" w:rsidP="00485AAF">
            <w:r>
              <w:t>April 2</w:t>
            </w:r>
            <w:r w:rsidR="00224589">
              <w:t>5</w:t>
            </w:r>
            <w:r>
              <w:t>-</w:t>
            </w:r>
            <w:r w:rsidR="00224589">
              <w:t>March 26</w:t>
            </w:r>
          </w:p>
        </w:tc>
        <w:tc>
          <w:tcPr>
            <w:tcW w:w="2790" w:type="dxa"/>
          </w:tcPr>
          <w:p w14:paraId="7FCEA530" w14:textId="618B17DE" w:rsidR="007A2C88" w:rsidRDefault="00224589" w:rsidP="00485AAF">
            <w:r>
              <w:t>Poland Acute</w:t>
            </w:r>
          </w:p>
        </w:tc>
      </w:tr>
      <w:tr w:rsidR="007A2C88" w14:paraId="079672E7" w14:textId="77777777" w:rsidTr="009C56AF">
        <w:trPr>
          <w:trHeight w:val="877"/>
        </w:trPr>
        <w:tc>
          <w:tcPr>
            <w:tcW w:w="2263" w:type="dxa"/>
            <w:vMerge/>
            <w:shd w:val="clear" w:color="auto" w:fill="D9D9D9" w:themeFill="background1" w:themeFillShade="D9"/>
          </w:tcPr>
          <w:p w14:paraId="438BADAE" w14:textId="77777777" w:rsidR="007A2C88" w:rsidRDefault="007A2C88" w:rsidP="00485AAF"/>
        </w:tc>
        <w:tc>
          <w:tcPr>
            <w:tcW w:w="2694" w:type="dxa"/>
            <w:vMerge/>
          </w:tcPr>
          <w:p w14:paraId="6092C047" w14:textId="77777777" w:rsidR="007A2C88" w:rsidRPr="000B4EB3" w:rsidRDefault="007A2C88" w:rsidP="000B4EB3">
            <w:pPr>
              <w:rPr>
                <w:lang w:val="en-GB"/>
              </w:rPr>
            </w:pPr>
          </w:p>
        </w:tc>
        <w:tc>
          <w:tcPr>
            <w:tcW w:w="3411" w:type="dxa"/>
          </w:tcPr>
          <w:p w14:paraId="78E75C59" w14:textId="38EDA13C" w:rsidR="007A2C88" w:rsidRPr="001F488C" w:rsidRDefault="007A2C88" w:rsidP="00485AAF">
            <w:r>
              <w:t>Roll out the use of SEM Scanners in Care at Home pathways for patients discharged from hospital</w:t>
            </w:r>
          </w:p>
        </w:tc>
        <w:tc>
          <w:tcPr>
            <w:tcW w:w="2790" w:type="dxa"/>
          </w:tcPr>
          <w:p w14:paraId="5ECECC80" w14:textId="7306F37D" w:rsidR="007A2C88" w:rsidRDefault="00224589" w:rsidP="00485AAF">
            <w:r>
              <w:t>April 25-March 26</w:t>
            </w:r>
          </w:p>
        </w:tc>
        <w:tc>
          <w:tcPr>
            <w:tcW w:w="2790" w:type="dxa"/>
          </w:tcPr>
          <w:p w14:paraId="3E88223E" w14:textId="523B8FC3" w:rsidR="007A2C88" w:rsidRDefault="00224589" w:rsidP="00485AAF">
            <w:r>
              <w:t>Scotland Care@home</w:t>
            </w:r>
          </w:p>
        </w:tc>
      </w:tr>
      <w:tr w:rsidR="007A2C88" w14:paraId="6157EB4F" w14:textId="77777777" w:rsidTr="009C56AF">
        <w:trPr>
          <w:trHeight w:val="293"/>
        </w:trPr>
        <w:tc>
          <w:tcPr>
            <w:tcW w:w="2263" w:type="dxa"/>
            <w:vMerge/>
            <w:shd w:val="clear" w:color="auto" w:fill="D9D9D9" w:themeFill="background1" w:themeFillShade="D9"/>
          </w:tcPr>
          <w:p w14:paraId="728A3980" w14:textId="77777777" w:rsidR="007A2C88" w:rsidRDefault="007A2C88" w:rsidP="00485AAF"/>
        </w:tc>
        <w:tc>
          <w:tcPr>
            <w:tcW w:w="2694" w:type="dxa"/>
            <w:vMerge/>
          </w:tcPr>
          <w:p w14:paraId="3BCCDBD6" w14:textId="77777777" w:rsidR="007A2C88" w:rsidRPr="000B4EB3" w:rsidRDefault="007A2C88" w:rsidP="000B4EB3">
            <w:pPr>
              <w:rPr>
                <w:lang w:val="en-GB"/>
              </w:rPr>
            </w:pPr>
          </w:p>
        </w:tc>
        <w:tc>
          <w:tcPr>
            <w:tcW w:w="3411" w:type="dxa"/>
          </w:tcPr>
          <w:p w14:paraId="3D1A6FCB" w14:textId="3B97BA0F" w:rsidR="007A2C88" w:rsidRPr="006D3092" w:rsidRDefault="007A2C88" w:rsidP="00485AAF">
            <w:r w:rsidRPr="007A79AC">
              <w:t>Collect</w:t>
            </w:r>
            <w:r w:rsidR="00F9553F">
              <w:t xml:space="preserve"> and analyse</w:t>
            </w:r>
            <w:r w:rsidRPr="007A79AC">
              <w:t xml:space="preserve"> data from patient records</w:t>
            </w:r>
          </w:p>
        </w:tc>
        <w:tc>
          <w:tcPr>
            <w:tcW w:w="2790" w:type="dxa"/>
          </w:tcPr>
          <w:p w14:paraId="3A3F8A6D" w14:textId="16524249" w:rsidR="007A2C88" w:rsidRDefault="00F9553F" w:rsidP="00485AAF">
            <w:r>
              <w:t>April 25-March 26</w:t>
            </w:r>
          </w:p>
        </w:tc>
        <w:tc>
          <w:tcPr>
            <w:tcW w:w="2790" w:type="dxa"/>
          </w:tcPr>
          <w:p w14:paraId="2151646E" w14:textId="77777777" w:rsidR="00F9553F" w:rsidRDefault="00F9553F" w:rsidP="00F9553F">
            <w:r>
              <w:t xml:space="preserve">Poland Acute </w:t>
            </w:r>
          </w:p>
          <w:p w14:paraId="32AE3C9C" w14:textId="4E5ADA91" w:rsidR="007A2C88" w:rsidRDefault="00F9553F" w:rsidP="00F9553F">
            <w:r>
              <w:t>Scotland Care@Home</w:t>
            </w:r>
            <w:r>
              <w:t xml:space="preserve"> RoHealth</w:t>
            </w:r>
          </w:p>
        </w:tc>
      </w:tr>
      <w:tr w:rsidR="007A2C88" w14:paraId="527A03AB" w14:textId="77777777" w:rsidTr="009C56AF">
        <w:trPr>
          <w:trHeight w:val="292"/>
        </w:trPr>
        <w:tc>
          <w:tcPr>
            <w:tcW w:w="2263" w:type="dxa"/>
            <w:vMerge/>
            <w:shd w:val="clear" w:color="auto" w:fill="D9D9D9" w:themeFill="background1" w:themeFillShade="D9"/>
          </w:tcPr>
          <w:p w14:paraId="299D8198" w14:textId="77777777" w:rsidR="007A2C88" w:rsidRDefault="007A2C88" w:rsidP="00485AAF"/>
        </w:tc>
        <w:tc>
          <w:tcPr>
            <w:tcW w:w="2694" w:type="dxa"/>
            <w:vMerge/>
          </w:tcPr>
          <w:p w14:paraId="1A815D8B" w14:textId="77777777" w:rsidR="007A2C88" w:rsidRPr="000B4EB3" w:rsidRDefault="007A2C88" w:rsidP="000B4EB3">
            <w:pPr>
              <w:rPr>
                <w:lang w:val="en-GB"/>
              </w:rPr>
            </w:pPr>
          </w:p>
        </w:tc>
        <w:tc>
          <w:tcPr>
            <w:tcW w:w="3411" w:type="dxa"/>
          </w:tcPr>
          <w:p w14:paraId="6FEE4F3F" w14:textId="704C6AA7" w:rsidR="007A2C88" w:rsidRPr="007A79AC" w:rsidRDefault="002C45B4" w:rsidP="00485AAF">
            <w:r>
              <w:t xml:space="preserve">Undertake patient </w:t>
            </w:r>
            <w:r w:rsidR="00A45EF6">
              <w:t>experience research on patient self-help prevention strategies</w:t>
            </w:r>
          </w:p>
        </w:tc>
        <w:tc>
          <w:tcPr>
            <w:tcW w:w="2790" w:type="dxa"/>
          </w:tcPr>
          <w:p w14:paraId="2463151B" w14:textId="39617F8C" w:rsidR="007A2C88" w:rsidRDefault="0083111E" w:rsidP="00485AAF">
            <w:r>
              <w:t>Nov 25-Jan 26</w:t>
            </w:r>
          </w:p>
        </w:tc>
        <w:tc>
          <w:tcPr>
            <w:tcW w:w="2790" w:type="dxa"/>
          </w:tcPr>
          <w:p w14:paraId="5641CC41" w14:textId="77777777" w:rsidR="0083111E" w:rsidRDefault="0083111E" w:rsidP="0083111E">
            <w:r>
              <w:t xml:space="preserve">Poland Acute </w:t>
            </w:r>
          </w:p>
          <w:p w14:paraId="21E027E4" w14:textId="77777777" w:rsidR="007A2C88" w:rsidRDefault="0083111E" w:rsidP="0083111E">
            <w:r>
              <w:t>Scotland Care@Home</w:t>
            </w:r>
          </w:p>
          <w:p w14:paraId="082D71F9" w14:textId="29D301EC" w:rsidR="0083111E" w:rsidRDefault="0083111E" w:rsidP="0083111E">
            <w:r>
              <w:t xml:space="preserve">NSS </w:t>
            </w:r>
          </w:p>
        </w:tc>
      </w:tr>
      <w:tr w:rsidR="007A2C88" w14:paraId="7258A30B" w14:textId="77777777" w:rsidTr="009C56AF">
        <w:trPr>
          <w:trHeight w:val="585"/>
        </w:trPr>
        <w:tc>
          <w:tcPr>
            <w:tcW w:w="2263" w:type="dxa"/>
            <w:vMerge/>
            <w:shd w:val="clear" w:color="auto" w:fill="D9D9D9" w:themeFill="background1" w:themeFillShade="D9"/>
          </w:tcPr>
          <w:p w14:paraId="04EB3036" w14:textId="77777777" w:rsidR="007A2C88" w:rsidRDefault="007A2C88" w:rsidP="00485AAF"/>
        </w:tc>
        <w:tc>
          <w:tcPr>
            <w:tcW w:w="2694" w:type="dxa"/>
            <w:vMerge/>
          </w:tcPr>
          <w:p w14:paraId="4DA53A6B" w14:textId="77777777" w:rsidR="007A2C88" w:rsidRPr="000B4EB3" w:rsidRDefault="007A2C88" w:rsidP="000B4EB3">
            <w:pPr>
              <w:rPr>
                <w:lang w:val="en-GB"/>
              </w:rPr>
            </w:pPr>
          </w:p>
        </w:tc>
        <w:tc>
          <w:tcPr>
            <w:tcW w:w="3411" w:type="dxa"/>
          </w:tcPr>
          <w:p w14:paraId="56BEFA8E" w14:textId="11D5DCEA" w:rsidR="007A2C88" w:rsidRPr="006D3092" w:rsidRDefault="007A2C88" w:rsidP="00485AAF">
            <w:r w:rsidRPr="007A79AC">
              <w:t>Undertake reviews of process and define improvement activities required</w:t>
            </w:r>
          </w:p>
        </w:tc>
        <w:tc>
          <w:tcPr>
            <w:tcW w:w="2790" w:type="dxa"/>
          </w:tcPr>
          <w:p w14:paraId="779EF1B3" w14:textId="603EB5E6" w:rsidR="007A2C88" w:rsidRDefault="001F61AC" w:rsidP="00485AAF">
            <w:r>
              <w:t>Quarterly via Workstream Oversight Group</w:t>
            </w:r>
          </w:p>
        </w:tc>
        <w:tc>
          <w:tcPr>
            <w:tcW w:w="2790" w:type="dxa"/>
          </w:tcPr>
          <w:p w14:paraId="27AB513F" w14:textId="1E8034CF" w:rsidR="007A2C88" w:rsidRDefault="00D84C01" w:rsidP="00485AAF">
            <w:r>
              <w:t>All partners</w:t>
            </w:r>
          </w:p>
        </w:tc>
      </w:tr>
      <w:tr w:rsidR="007A2C88" w14:paraId="7C1AD1E7" w14:textId="77777777" w:rsidTr="009C56AF">
        <w:trPr>
          <w:trHeight w:val="585"/>
        </w:trPr>
        <w:tc>
          <w:tcPr>
            <w:tcW w:w="2263" w:type="dxa"/>
            <w:vMerge/>
            <w:shd w:val="clear" w:color="auto" w:fill="D9D9D9" w:themeFill="background1" w:themeFillShade="D9"/>
          </w:tcPr>
          <w:p w14:paraId="1C69FC81" w14:textId="77777777" w:rsidR="007A2C88" w:rsidRDefault="007A2C88" w:rsidP="00485AAF"/>
        </w:tc>
        <w:tc>
          <w:tcPr>
            <w:tcW w:w="2694" w:type="dxa"/>
            <w:vMerge/>
          </w:tcPr>
          <w:p w14:paraId="2908B2D6" w14:textId="77777777" w:rsidR="007A2C88" w:rsidRPr="000B4EB3" w:rsidRDefault="007A2C88" w:rsidP="000B4EB3">
            <w:pPr>
              <w:rPr>
                <w:lang w:val="en-GB"/>
              </w:rPr>
            </w:pPr>
          </w:p>
        </w:tc>
        <w:tc>
          <w:tcPr>
            <w:tcW w:w="3411" w:type="dxa"/>
          </w:tcPr>
          <w:p w14:paraId="4DC18AA4" w14:textId="6E3115CE" w:rsidR="007A2C88" w:rsidRPr="007A79AC" w:rsidRDefault="007A2C88" w:rsidP="00485AAF">
            <w:r>
              <w:t>(WP1) Engage stakeholders in dissemination activities (see outline dissemination plan)</w:t>
            </w:r>
          </w:p>
        </w:tc>
        <w:tc>
          <w:tcPr>
            <w:tcW w:w="2790" w:type="dxa"/>
          </w:tcPr>
          <w:p w14:paraId="3EEEBBBD" w14:textId="77777777" w:rsidR="007A2C88" w:rsidRDefault="00D84C01" w:rsidP="00485AAF">
            <w:r>
              <w:t>Jan 25-</w:t>
            </w:r>
            <w:r w:rsidR="00075986">
              <w:t>June 26</w:t>
            </w:r>
          </w:p>
          <w:p w14:paraId="14F099AF" w14:textId="0C563CA2" w:rsidR="00373B60" w:rsidRDefault="00373B60" w:rsidP="00485AAF"/>
        </w:tc>
        <w:tc>
          <w:tcPr>
            <w:tcW w:w="2790" w:type="dxa"/>
          </w:tcPr>
          <w:p w14:paraId="73494AB6" w14:textId="232376DC" w:rsidR="00B06BA8" w:rsidRPr="00373B60" w:rsidRDefault="00B06BA8" w:rsidP="00485AAF">
            <w:pPr>
              <w:rPr>
                <w:b/>
                <w:bCs/>
              </w:rPr>
            </w:pPr>
            <w:r w:rsidRPr="00373B60">
              <w:rPr>
                <w:b/>
                <w:bCs/>
              </w:rPr>
              <w:t>NSS</w:t>
            </w:r>
          </w:p>
          <w:p w14:paraId="13EFE751" w14:textId="77777777" w:rsidR="007A2C88" w:rsidRDefault="00075986" w:rsidP="00485AAF">
            <w:r>
              <w:t>All partners</w:t>
            </w:r>
          </w:p>
          <w:p w14:paraId="6D449BD3" w14:textId="1EDE429E" w:rsidR="009E0556" w:rsidRDefault="009E0556" w:rsidP="00485AAF">
            <w:r>
              <w:t>(Champions)</w:t>
            </w:r>
          </w:p>
        </w:tc>
      </w:tr>
      <w:tr w:rsidR="007A2C88" w14:paraId="6412A410" w14:textId="77777777" w:rsidTr="009C56AF">
        <w:trPr>
          <w:trHeight w:val="918"/>
        </w:trPr>
        <w:tc>
          <w:tcPr>
            <w:tcW w:w="2263" w:type="dxa"/>
            <w:vMerge/>
            <w:shd w:val="clear" w:color="auto" w:fill="D9D9D9" w:themeFill="background1" w:themeFillShade="D9"/>
          </w:tcPr>
          <w:p w14:paraId="4865A701" w14:textId="77777777" w:rsidR="007A2C88" w:rsidRDefault="007A2C88" w:rsidP="00485AAF"/>
        </w:tc>
        <w:tc>
          <w:tcPr>
            <w:tcW w:w="2694" w:type="dxa"/>
            <w:vMerge w:val="restart"/>
          </w:tcPr>
          <w:p w14:paraId="301FC88B" w14:textId="00531BCD" w:rsidR="007A2C88" w:rsidRPr="006D3092" w:rsidRDefault="007A2C88" w:rsidP="006D3092">
            <w:pPr>
              <w:rPr>
                <w:lang w:val="en-GB"/>
              </w:rPr>
            </w:pPr>
            <w:r>
              <w:rPr>
                <w:lang w:val="en-GB"/>
              </w:rPr>
              <w:t>2.</w:t>
            </w:r>
            <w:r w:rsidRPr="006D3092">
              <w:rPr>
                <w:lang w:val="en-GB"/>
              </w:rPr>
              <w:t>Develop an understanding of how the SEM scanner can provide positive Return on Investment compared to standard</w:t>
            </w:r>
          </w:p>
          <w:p w14:paraId="7EC4BC48" w14:textId="4E5D54B0" w:rsidR="007A2C88" w:rsidRDefault="007A2C88" w:rsidP="006D3092">
            <w:r w:rsidRPr="006D3092">
              <w:rPr>
                <w:lang w:val="en-GB"/>
              </w:rPr>
              <w:t>clinical assessment, in reducing the onset of PI</w:t>
            </w:r>
          </w:p>
        </w:tc>
        <w:tc>
          <w:tcPr>
            <w:tcW w:w="3411" w:type="dxa"/>
          </w:tcPr>
          <w:p w14:paraId="48A0C24F" w14:textId="346E5051" w:rsidR="007A2C88" w:rsidRDefault="007A2C88" w:rsidP="007A79AC">
            <w:r>
              <w:t xml:space="preserve">(WP4) </w:t>
            </w:r>
            <w:r>
              <w:t>Analysis</w:t>
            </w:r>
          </w:p>
          <w:p w14:paraId="5C781E13" w14:textId="5A4B33C1" w:rsidR="007A2C88" w:rsidRDefault="007A2C88" w:rsidP="007A79AC">
            <w:r>
              <w:t>of changes to key actor practice</w:t>
            </w:r>
          </w:p>
        </w:tc>
        <w:tc>
          <w:tcPr>
            <w:tcW w:w="2790" w:type="dxa"/>
          </w:tcPr>
          <w:p w14:paraId="0726ABED" w14:textId="266721A7" w:rsidR="007A2C88" w:rsidRDefault="00AB7986" w:rsidP="00485AAF">
            <w:r>
              <w:t>April 25-March 26</w:t>
            </w:r>
          </w:p>
        </w:tc>
        <w:tc>
          <w:tcPr>
            <w:tcW w:w="2790" w:type="dxa"/>
          </w:tcPr>
          <w:p w14:paraId="461BCB48" w14:textId="77777777" w:rsidR="00AB7986" w:rsidRDefault="00AB7986" w:rsidP="00AB7986">
            <w:r>
              <w:t xml:space="preserve">Poland Acute </w:t>
            </w:r>
          </w:p>
          <w:p w14:paraId="719E6196" w14:textId="335274E7" w:rsidR="007A2C88" w:rsidRDefault="00AB7986" w:rsidP="00AB7986">
            <w:r>
              <w:t>Scotland Care@Home RoHealth</w:t>
            </w:r>
          </w:p>
        </w:tc>
      </w:tr>
      <w:tr w:rsidR="007A2C88" w14:paraId="57A1DD65" w14:textId="77777777" w:rsidTr="009C56AF">
        <w:trPr>
          <w:trHeight w:val="585"/>
        </w:trPr>
        <w:tc>
          <w:tcPr>
            <w:tcW w:w="2263" w:type="dxa"/>
            <w:vMerge/>
            <w:shd w:val="clear" w:color="auto" w:fill="D9D9D9" w:themeFill="background1" w:themeFillShade="D9"/>
          </w:tcPr>
          <w:p w14:paraId="38D449EC" w14:textId="77777777" w:rsidR="007A2C88" w:rsidRDefault="007A2C88" w:rsidP="00485AAF"/>
        </w:tc>
        <w:tc>
          <w:tcPr>
            <w:tcW w:w="2694" w:type="dxa"/>
            <w:vMerge/>
          </w:tcPr>
          <w:p w14:paraId="4324B262" w14:textId="77777777" w:rsidR="007A2C88" w:rsidRPr="006D3092" w:rsidRDefault="007A2C88" w:rsidP="006D3092">
            <w:pPr>
              <w:rPr>
                <w:lang w:val="en-GB"/>
              </w:rPr>
            </w:pPr>
          </w:p>
        </w:tc>
        <w:tc>
          <w:tcPr>
            <w:tcW w:w="3411" w:type="dxa"/>
          </w:tcPr>
          <w:p w14:paraId="71DC36A9" w14:textId="23F56067" w:rsidR="007A2C88" w:rsidRDefault="007A2C88" w:rsidP="00485AAF">
            <w:r>
              <w:t xml:space="preserve">(WP4) </w:t>
            </w:r>
            <w:r w:rsidRPr="00B84D35">
              <w:t>Quantitative analysis of reported demand on healthcare</w:t>
            </w:r>
          </w:p>
        </w:tc>
        <w:tc>
          <w:tcPr>
            <w:tcW w:w="2790" w:type="dxa"/>
          </w:tcPr>
          <w:p w14:paraId="2829E22A" w14:textId="136A471B" w:rsidR="007A2C88" w:rsidRDefault="00AB7986" w:rsidP="00485AAF">
            <w:r>
              <w:t>April 25-March 26</w:t>
            </w:r>
          </w:p>
        </w:tc>
        <w:tc>
          <w:tcPr>
            <w:tcW w:w="2790" w:type="dxa"/>
          </w:tcPr>
          <w:p w14:paraId="746700DF" w14:textId="77777777" w:rsidR="00AB7986" w:rsidRDefault="00AB7986" w:rsidP="00AB7986">
            <w:r>
              <w:t xml:space="preserve">Poland Acute </w:t>
            </w:r>
          </w:p>
          <w:p w14:paraId="69D626F8" w14:textId="2E995B1B" w:rsidR="007A2C88" w:rsidRDefault="00AB7986" w:rsidP="00AB7986">
            <w:r>
              <w:t>Scotland Care@Home RoHealth</w:t>
            </w:r>
          </w:p>
        </w:tc>
      </w:tr>
      <w:tr w:rsidR="00AB7986" w14:paraId="4131DAC8" w14:textId="77777777" w:rsidTr="009C56AF">
        <w:trPr>
          <w:trHeight w:val="585"/>
        </w:trPr>
        <w:tc>
          <w:tcPr>
            <w:tcW w:w="2263" w:type="dxa"/>
            <w:vMerge/>
            <w:shd w:val="clear" w:color="auto" w:fill="D9D9D9" w:themeFill="background1" w:themeFillShade="D9"/>
          </w:tcPr>
          <w:p w14:paraId="6B182331" w14:textId="77777777" w:rsidR="00AB7986" w:rsidRDefault="00AB7986" w:rsidP="00AB7986"/>
        </w:tc>
        <w:tc>
          <w:tcPr>
            <w:tcW w:w="2694" w:type="dxa"/>
            <w:vMerge/>
          </w:tcPr>
          <w:p w14:paraId="180AFC59" w14:textId="77777777" w:rsidR="00AB7986" w:rsidRPr="006D3092" w:rsidRDefault="00AB7986" w:rsidP="00AB7986">
            <w:pPr>
              <w:rPr>
                <w:lang w:val="en-GB"/>
              </w:rPr>
            </w:pPr>
          </w:p>
        </w:tc>
        <w:tc>
          <w:tcPr>
            <w:tcW w:w="3411" w:type="dxa"/>
          </w:tcPr>
          <w:p w14:paraId="787FAB62" w14:textId="1DE774C8" w:rsidR="00AB7986" w:rsidRPr="00B84D35" w:rsidRDefault="00AB7986" w:rsidP="00AB7986">
            <w:r>
              <w:t xml:space="preserve">(WP1) </w:t>
            </w:r>
            <w:r w:rsidRPr="00221393">
              <w:t>Engage stakeholders in dissemination activities (see outline dissemination plan)</w:t>
            </w:r>
          </w:p>
        </w:tc>
        <w:tc>
          <w:tcPr>
            <w:tcW w:w="2790" w:type="dxa"/>
          </w:tcPr>
          <w:p w14:paraId="54DED2A0" w14:textId="4FE9C27A" w:rsidR="00AB7986" w:rsidRDefault="00AB7986" w:rsidP="00AB7986">
            <w:r>
              <w:t>Jan 25-June 26</w:t>
            </w:r>
          </w:p>
        </w:tc>
        <w:tc>
          <w:tcPr>
            <w:tcW w:w="2790" w:type="dxa"/>
          </w:tcPr>
          <w:p w14:paraId="3C649B91" w14:textId="76863F6C" w:rsidR="00B06BA8" w:rsidRPr="00373B60" w:rsidRDefault="00B06BA8" w:rsidP="00AB7986">
            <w:pPr>
              <w:rPr>
                <w:b/>
                <w:bCs/>
              </w:rPr>
            </w:pPr>
            <w:r w:rsidRPr="00373B60">
              <w:rPr>
                <w:b/>
                <w:bCs/>
              </w:rPr>
              <w:t>NSS</w:t>
            </w:r>
          </w:p>
          <w:p w14:paraId="7BE5284C" w14:textId="77777777" w:rsidR="00AB7986" w:rsidRDefault="00AB7986" w:rsidP="00AB7986">
            <w:r>
              <w:t>All partners</w:t>
            </w:r>
          </w:p>
          <w:p w14:paraId="03432011" w14:textId="2147EB24" w:rsidR="009E0556" w:rsidRDefault="009E0556" w:rsidP="00AB7986">
            <w:r>
              <w:t>(Champions)</w:t>
            </w:r>
          </w:p>
        </w:tc>
      </w:tr>
      <w:tr w:rsidR="00AF5E7F" w14:paraId="3F8B3311" w14:textId="77777777" w:rsidTr="009C56AF">
        <w:trPr>
          <w:trHeight w:val="585"/>
        </w:trPr>
        <w:tc>
          <w:tcPr>
            <w:tcW w:w="2263" w:type="dxa"/>
            <w:vMerge w:val="restart"/>
          </w:tcPr>
          <w:p w14:paraId="3A2CDB4B" w14:textId="66CCEF4B" w:rsidR="00AF5E7F" w:rsidRDefault="00AF5E7F" w:rsidP="00485AAF">
            <w:r>
              <w:t xml:space="preserve">Economic Study </w:t>
            </w:r>
            <w:r w:rsidRPr="00C11762">
              <w:rPr>
                <w:b/>
                <w:bCs/>
              </w:rPr>
              <w:t>WP 4</w:t>
            </w:r>
          </w:p>
        </w:tc>
        <w:tc>
          <w:tcPr>
            <w:tcW w:w="2694" w:type="dxa"/>
            <w:vMerge w:val="restart"/>
          </w:tcPr>
          <w:p w14:paraId="6AA8D3E9" w14:textId="323D23AE" w:rsidR="00AF5E7F" w:rsidRDefault="00AF5E7F" w:rsidP="002C6DF8">
            <w:r>
              <w:t xml:space="preserve">Establish </w:t>
            </w:r>
            <w:r>
              <w:t>the benefits / dis-benefits</w:t>
            </w:r>
          </w:p>
          <w:p w14:paraId="65E5B226" w14:textId="69D69255" w:rsidR="00AF5E7F" w:rsidRDefault="00AF5E7F" w:rsidP="002C6DF8">
            <w:r>
              <w:t>and potential cost savings from the use SEM Scanning for prevention of PIs</w:t>
            </w:r>
          </w:p>
        </w:tc>
        <w:tc>
          <w:tcPr>
            <w:tcW w:w="3411" w:type="dxa"/>
          </w:tcPr>
          <w:p w14:paraId="37F036D8" w14:textId="2BD49B29" w:rsidR="00AF5E7F" w:rsidRDefault="00AF5E7F" w:rsidP="00485AAF">
            <w:r w:rsidRPr="00AD707C">
              <w:t>Design the Health Economics Review</w:t>
            </w:r>
          </w:p>
        </w:tc>
        <w:tc>
          <w:tcPr>
            <w:tcW w:w="2790" w:type="dxa"/>
          </w:tcPr>
          <w:p w14:paraId="1574CA8C" w14:textId="1D45432A" w:rsidR="00AF5E7F" w:rsidRDefault="005920F3" w:rsidP="00485AAF">
            <w:r>
              <w:t>Jan-Mar 25</w:t>
            </w:r>
          </w:p>
        </w:tc>
        <w:tc>
          <w:tcPr>
            <w:tcW w:w="2790" w:type="dxa"/>
          </w:tcPr>
          <w:p w14:paraId="6842E739" w14:textId="77777777" w:rsidR="00AF5E7F" w:rsidRPr="00373B60" w:rsidRDefault="005920F3" w:rsidP="00485AAF">
            <w:pPr>
              <w:rPr>
                <w:b/>
                <w:bCs/>
              </w:rPr>
            </w:pPr>
            <w:r w:rsidRPr="00373B60">
              <w:rPr>
                <w:b/>
                <w:bCs/>
              </w:rPr>
              <w:t xml:space="preserve">RoHealth </w:t>
            </w:r>
          </w:p>
          <w:p w14:paraId="3C8B1AAD" w14:textId="6C0D8E39" w:rsidR="005920F3" w:rsidRDefault="005920F3" w:rsidP="00485AAF">
            <w:r>
              <w:t>All partners</w:t>
            </w:r>
          </w:p>
        </w:tc>
      </w:tr>
      <w:tr w:rsidR="00AF5E7F" w14:paraId="2DED1CE8" w14:textId="77777777" w:rsidTr="009C56AF">
        <w:trPr>
          <w:trHeight w:val="585"/>
        </w:trPr>
        <w:tc>
          <w:tcPr>
            <w:tcW w:w="2263" w:type="dxa"/>
            <w:vMerge/>
          </w:tcPr>
          <w:p w14:paraId="5E95698B" w14:textId="77777777" w:rsidR="00AF5E7F" w:rsidRDefault="00AF5E7F" w:rsidP="00485AAF"/>
        </w:tc>
        <w:tc>
          <w:tcPr>
            <w:tcW w:w="2694" w:type="dxa"/>
            <w:vMerge/>
          </w:tcPr>
          <w:p w14:paraId="24FED9A2" w14:textId="77777777" w:rsidR="00AF5E7F" w:rsidRDefault="00AF5E7F" w:rsidP="002C6DF8"/>
        </w:tc>
        <w:tc>
          <w:tcPr>
            <w:tcW w:w="3411" w:type="dxa"/>
          </w:tcPr>
          <w:p w14:paraId="5FEFD10D" w14:textId="3249AD98" w:rsidR="00AF5E7F" w:rsidRDefault="00AF5E7F" w:rsidP="00485AAF">
            <w:r>
              <w:t>R</w:t>
            </w:r>
            <w:r w:rsidRPr="00325640">
              <w:t>eview the optimised predictive models for cost effectiveness.</w:t>
            </w:r>
          </w:p>
        </w:tc>
        <w:tc>
          <w:tcPr>
            <w:tcW w:w="2790" w:type="dxa"/>
          </w:tcPr>
          <w:p w14:paraId="0E33B837" w14:textId="2A265B74" w:rsidR="00AF5E7F" w:rsidRDefault="005920F3" w:rsidP="00485AAF">
            <w:r>
              <w:t>Sept-</w:t>
            </w:r>
            <w:r w:rsidR="0005375C">
              <w:t>December 25</w:t>
            </w:r>
          </w:p>
        </w:tc>
        <w:tc>
          <w:tcPr>
            <w:tcW w:w="2790" w:type="dxa"/>
          </w:tcPr>
          <w:p w14:paraId="43EB48EF" w14:textId="77777777" w:rsidR="00AF5E7F" w:rsidRPr="00373B60" w:rsidRDefault="0005375C" w:rsidP="00485AAF">
            <w:pPr>
              <w:rPr>
                <w:b/>
                <w:bCs/>
              </w:rPr>
            </w:pPr>
            <w:r w:rsidRPr="00373B60">
              <w:rPr>
                <w:b/>
                <w:bCs/>
              </w:rPr>
              <w:t>RoHealth</w:t>
            </w:r>
          </w:p>
          <w:p w14:paraId="712EDD4F" w14:textId="29C57FCF" w:rsidR="009003B3" w:rsidRDefault="009003B3" w:rsidP="00485AAF">
            <w:r>
              <w:t>All partners</w:t>
            </w:r>
          </w:p>
        </w:tc>
      </w:tr>
      <w:tr w:rsidR="00AF5E7F" w14:paraId="0CAAB2F1" w14:textId="77777777" w:rsidTr="009C56AF">
        <w:trPr>
          <w:trHeight w:val="293"/>
        </w:trPr>
        <w:tc>
          <w:tcPr>
            <w:tcW w:w="2263" w:type="dxa"/>
            <w:vMerge/>
          </w:tcPr>
          <w:p w14:paraId="7C7AB7D6" w14:textId="77777777" w:rsidR="00AF5E7F" w:rsidRDefault="00AF5E7F" w:rsidP="00485AAF"/>
        </w:tc>
        <w:tc>
          <w:tcPr>
            <w:tcW w:w="2694" w:type="dxa"/>
            <w:vMerge/>
          </w:tcPr>
          <w:p w14:paraId="0AEB787E" w14:textId="77777777" w:rsidR="00AF5E7F" w:rsidRDefault="00AF5E7F" w:rsidP="002C6DF8"/>
        </w:tc>
        <w:tc>
          <w:tcPr>
            <w:tcW w:w="3411" w:type="dxa"/>
          </w:tcPr>
          <w:p w14:paraId="067A350C" w14:textId="3AE48997" w:rsidR="00AF5E7F" w:rsidRDefault="00AF5E7F" w:rsidP="00485AAF">
            <w:r w:rsidRPr="00325640">
              <w:t>Produce a Health Economics Report</w:t>
            </w:r>
          </w:p>
        </w:tc>
        <w:tc>
          <w:tcPr>
            <w:tcW w:w="2790" w:type="dxa"/>
          </w:tcPr>
          <w:p w14:paraId="1951B47A" w14:textId="784FA435" w:rsidR="00AF5E7F" w:rsidRDefault="009003B3" w:rsidP="00485AAF">
            <w:r>
              <w:t>Jan 26</w:t>
            </w:r>
          </w:p>
        </w:tc>
        <w:tc>
          <w:tcPr>
            <w:tcW w:w="2790" w:type="dxa"/>
          </w:tcPr>
          <w:p w14:paraId="3AC8DD9B" w14:textId="77777777" w:rsidR="00AF5E7F" w:rsidRPr="00373B60" w:rsidRDefault="009003B3" w:rsidP="00485AAF">
            <w:pPr>
              <w:rPr>
                <w:b/>
                <w:bCs/>
              </w:rPr>
            </w:pPr>
            <w:r w:rsidRPr="00373B60">
              <w:rPr>
                <w:b/>
                <w:bCs/>
              </w:rPr>
              <w:t>RoHealth</w:t>
            </w:r>
          </w:p>
          <w:p w14:paraId="6E8558C0" w14:textId="019547B3" w:rsidR="009003B3" w:rsidRDefault="009003B3" w:rsidP="00485AAF">
            <w:r>
              <w:t>All partners</w:t>
            </w:r>
          </w:p>
        </w:tc>
      </w:tr>
      <w:tr w:rsidR="009003B3" w14:paraId="05626376" w14:textId="77777777" w:rsidTr="00AF5E7F">
        <w:trPr>
          <w:trHeight w:val="443"/>
        </w:trPr>
        <w:tc>
          <w:tcPr>
            <w:tcW w:w="2263" w:type="dxa"/>
            <w:vMerge/>
          </w:tcPr>
          <w:p w14:paraId="115F9D60" w14:textId="77777777" w:rsidR="009003B3" w:rsidRDefault="009003B3" w:rsidP="009003B3"/>
        </w:tc>
        <w:tc>
          <w:tcPr>
            <w:tcW w:w="2694" w:type="dxa"/>
            <w:vMerge/>
          </w:tcPr>
          <w:p w14:paraId="1C25365B" w14:textId="77777777" w:rsidR="009003B3" w:rsidRDefault="009003B3" w:rsidP="009003B3"/>
        </w:tc>
        <w:tc>
          <w:tcPr>
            <w:tcW w:w="3411" w:type="dxa"/>
          </w:tcPr>
          <w:p w14:paraId="5AA309AA" w14:textId="781C5E1B" w:rsidR="009003B3" w:rsidRPr="00325640" w:rsidRDefault="009003B3" w:rsidP="009003B3">
            <w:r>
              <w:t xml:space="preserve">(WP1) </w:t>
            </w:r>
            <w:r w:rsidRPr="00221393">
              <w:t>Engage stakeholders in dissemination activities (see outline dissemination plan)</w:t>
            </w:r>
          </w:p>
        </w:tc>
        <w:tc>
          <w:tcPr>
            <w:tcW w:w="2790" w:type="dxa"/>
          </w:tcPr>
          <w:p w14:paraId="3BB698F9" w14:textId="45A4BD3A" w:rsidR="009003B3" w:rsidRDefault="009003B3" w:rsidP="009003B3">
            <w:r>
              <w:t>Jan 25-June 26</w:t>
            </w:r>
          </w:p>
        </w:tc>
        <w:tc>
          <w:tcPr>
            <w:tcW w:w="2790" w:type="dxa"/>
          </w:tcPr>
          <w:p w14:paraId="15E12AE8" w14:textId="6ACCC6A2" w:rsidR="00373B60" w:rsidRPr="00373B60" w:rsidRDefault="00373B60" w:rsidP="009003B3">
            <w:pPr>
              <w:rPr>
                <w:b/>
                <w:bCs/>
              </w:rPr>
            </w:pPr>
            <w:r w:rsidRPr="00373B60">
              <w:rPr>
                <w:b/>
                <w:bCs/>
              </w:rPr>
              <w:t>NSS</w:t>
            </w:r>
          </w:p>
          <w:p w14:paraId="302149EA" w14:textId="77777777" w:rsidR="009003B3" w:rsidRDefault="009003B3" w:rsidP="009003B3">
            <w:r>
              <w:t>All partners</w:t>
            </w:r>
          </w:p>
          <w:p w14:paraId="6717569B" w14:textId="081D589F" w:rsidR="009E0556" w:rsidRDefault="009E0556" w:rsidP="009003B3">
            <w:r>
              <w:t>(Champions)</w:t>
            </w:r>
          </w:p>
        </w:tc>
      </w:tr>
      <w:tr w:rsidR="00AF5E7F" w14:paraId="0E9D491A" w14:textId="77777777" w:rsidTr="009C56AF">
        <w:trPr>
          <w:trHeight w:val="442"/>
        </w:trPr>
        <w:tc>
          <w:tcPr>
            <w:tcW w:w="2263" w:type="dxa"/>
            <w:vMerge/>
          </w:tcPr>
          <w:p w14:paraId="5827E50F" w14:textId="77777777" w:rsidR="00AF5E7F" w:rsidRDefault="00AF5E7F" w:rsidP="00485AAF"/>
        </w:tc>
        <w:tc>
          <w:tcPr>
            <w:tcW w:w="2694" w:type="dxa"/>
            <w:vMerge/>
          </w:tcPr>
          <w:p w14:paraId="0D8B42F3" w14:textId="77777777" w:rsidR="00AF5E7F" w:rsidRDefault="00AF5E7F" w:rsidP="002C6DF8"/>
        </w:tc>
        <w:tc>
          <w:tcPr>
            <w:tcW w:w="3411" w:type="dxa"/>
          </w:tcPr>
          <w:p w14:paraId="3294173B" w14:textId="51C66B3F" w:rsidR="00AF5E7F" w:rsidRDefault="008F0EC0" w:rsidP="00485AAF">
            <w:r>
              <w:t>Value based assessment of system change requirements (resource allocation, prescribing)</w:t>
            </w:r>
          </w:p>
        </w:tc>
        <w:tc>
          <w:tcPr>
            <w:tcW w:w="2790" w:type="dxa"/>
          </w:tcPr>
          <w:p w14:paraId="764BF9B0" w14:textId="40DA1145" w:rsidR="00AF5E7F" w:rsidRDefault="009003B3" w:rsidP="00485AAF">
            <w:r>
              <w:t>Sept-December 25</w:t>
            </w:r>
          </w:p>
        </w:tc>
        <w:tc>
          <w:tcPr>
            <w:tcW w:w="2790" w:type="dxa"/>
          </w:tcPr>
          <w:p w14:paraId="6CAEDBB4" w14:textId="77777777" w:rsidR="00AF5E7F" w:rsidRDefault="009003B3" w:rsidP="00485AAF">
            <w:r>
              <w:t>RoHealth</w:t>
            </w:r>
          </w:p>
          <w:p w14:paraId="5BB6CB2C" w14:textId="0E3DF2FB" w:rsidR="00B06BA8" w:rsidRDefault="00B06BA8" w:rsidP="00485AAF">
            <w:r>
              <w:t>Scotland Care@Home</w:t>
            </w:r>
          </w:p>
        </w:tc>
      </w:tr>
      <w:tr w:rsidR="00B06BA8" w14:paraId="111CAFBF" w14:textId="77777777" w:rsidTr="009C56AF">
        <w:trPr>
          <w:trHeight w:val="585"/>
        </w:trPr>
        <w:tc>
          <w:tcPr>
            <w:tcW w:w="2263" w:type="dxa"/>
            <w:vMerge w:val="restart"/>
            <w:shd w:val="clear" w:color="auto" w:fill="D9D9D9" w:themeFill="background1" w:themeFillShade="D9"/>
          </w:tcPr>
          <w:p w14:paraId="5A32F34F" w14:textId="53D20A40" w:rsidR="00B06BA8" w:rsidRDefault="00B06BA8" w:rsidP="00B06BA8">
            <w:r>
              <w:lastRenderedPageBreak/>
              <w:t xml:space="preserve">Project Co-ordination, Engagement and Influencing </w:t>
            </w:r>
            <w:r w:rsidRPr="00C11762">
              <w:rPr>
                <w:b/>
                <w:bCs/>
              </w:rPr>
              <w:t>WP1</w:t>
            </w:r>
          </w:p>
        </w:tc>
        <w:tc>
          <w:tcPr>
            <w:tcW w:w="2694" w:type="dxa"/>
          </w:tcPr>
          <w:p w14:paraId="6FACF942" w14:textId="41DD85A6" w:rsidR="00B06BA8" w:rsidRDefault="00B06BA8" w:rsidP="00B06BA8">
            <w:r>
              <w:t>Influence system transformation via policy change for pressure injury prevention</w:t>
            </w:r>
          </w:p>
        </w:tc>
        <w:tc>
          <w:tcPr>
            <w:tcW w:w="3411" w:type="dxa"/>
          </w:tcPr>
          <w:p w14:paraId="59E357D4" w14:textId="0AA5CF2A" w:rsidR="00B06BA8" w:rsidRDefault="00B06BA8" w:rsidP="00B06BA8">
            <w:r>
              <w:t>Disseminate EPPPI learning, data and resources</w:t>
            </w:r>
            <w:r>
              <w:t xml:space="preserve"> (see outline dissemination plan)</w:t>
            </w:r>
          </w:p>
        </w:tc>
        <w:tc>
          <w:tcPr>
            <w:tcW w:w="2790" w:type="dxa"/>
          </w:tcPr>
          <w:p w14:paraId="01AD4DCA" w14:textId="189DC3A9" w:rsidR="00B06BA8" w:rsidRDefault="00B06BA8" w:rsidP="00B06BA8">
            <w:r>
              <w:t>Jan 25-June 26</w:t>
            </w:r>
          </w:p>
        </w:tc>
        <w:tc>
          <w:tcPr>
            <w:tcW w:w="2790" w:type="dxa"/>
          </w:tcPr>
          <w:p w14:paraId="3210BFCA" w14:textId="0DAC6683" w:rsidR="00B06BA8" w:rsidRPr="00373B60" w:rsidRDefault="00B06BA8" w:rsidP="00B06BA8">
            <w:pPr>
              <w:rPr>
                <w:b/>
                <w:bCs/>
              </w:rPr>
            </w:pPr>
            <w:r w:rsidRPr="00373B60">
              <w:rPr>
                <w:b/>
                <w:bCs/>
              </w:rPr>
              <w:t>NSS</w:t>
            </w:r>
          </w:p>
          <w:p w14:paraId="17275926" w14:textId="77777777" w:rsidR="00B06BA8" w:rsidRDefault="00B06BA8" w:rsidP="00B06BA8">
            <w:r>
              <w:t>All partners</w:t>
            </w:r>
          </w:p>
          <w:p w14:paraId="77CB1490" w14:textId="77777777" w:rsidR="009E0556" w:rsidRDefault="009E0556" w:rsidP="00B06BA8">
            <w:r>
              <w:t>(Champions)</w:t>
            </w:r>
          </w:p>
          <w:p w14:paraId="708DF5D4" w14:textId="170D15BE" w:rsidR="00E56D96" w:rsidRDefault="00E56D96" w:rsidP="00B06BA8">
            <w:r>
              <w:t>(Research Advisory Group)</w:t>
            </w:r>
          </w:p>
        </w:tc>
      </w:tr>
      <w:tr w:rsidR="00B06BA8" w14:paraId="23004498" w14:textId="77777777" w:rsidTr="009C56AF">
        <w:trPr>
          <w:trHeight w:val="1170"/>
        </w:trPr>
        <w:tc>
          <w:tcPr>
            <w:tcW w:w="2263" w:type="dxa"/>
            <w:vMerge/>
            <w:shd w:val="clear" w:color="auto" w:fill="D9D9D9" w:themeFill="background1" w:themeFillShade="D9"/>
          </w:tcPr>
          <w:p w14:paraId="4E49F575" w14:textId="77777777" w:rsidR="00B06BA8" w:rsidRDefault="00B06BA8" w:rsidP="00B06BA8"/>
        </w:tc>
        <w:tc>
          <w:tcPr>
            <w:tcW w:w="2694" w:type="dxa"/>
            <w:vMerge w:val="restart"/>
          </w:tcPr>
          <w:p w14:paraId="065A5E07" w14:textId="005E0042" w:rsidR="00B06BA8" w:rsidRDefault="00B06BA8" w:rsidP="00B06BA8">
            <w:r>
              <w:t>Influence practitioner awareness and professional development for pressure injury prevention</w:t>
            </w:r>
          </w:p>
        </w:tc>
        <w:tc>
          <w:tcPr>
            <w:tcW w:w="3411" w:type="dxa"/>
          </w:tcPr>
          <w:p w14:paraId="53D5F8D3" w14:textId="029C56E4" w:rsidR="00B06BA8" w:rsidRDefault="00B06BA8" w:rsidP="00B06BA8">
            <w:r>
              <w:t>Engage stakeholder groups in dissemination activities (see outline dissemination plan)</w:t>
            </w:r>
          </w:p>
        </w:tc>
        <w:tc>
          <w:tcPr>
            <w:tcW w:w="2790" w:type="dxa"/>
          </w:tcPr>
          <w:p w14:paraId="52B79F07" w14:textId="6C8A7D94" w:rsidR="00B06BA8" w:rsidRDefault="00B06BA8" w:rsidP="00B06BA8">
            <w:r>
              <w:t>Jan 25-June 26</w:t>
            </w:r>
          </w:p>
        </w:tc>
        <w:tc>
          <w:tcPr>
            <w:tcW w:w="2790" w:type="dxa"/>
          </w:tcPr>
          <w:p w14:paraId="6D99F307" w14:textId="7F1A957A" w:rsidR="00B06BA8" w:rsidRPr="00373B60" w:rsidRDefault="00B06BA8" w:rsidP="00B06BA8">
            <w:pPr>
              <w:rPr>
                <w:b/>
                <w:bCs/>
              </w:rPr>
            </w:pPr>
            <w:r w:rsidRPr="00373B60">
              <w:rPr>
                <w:b/>
                <w:bCs/>
              </w:rPr>
              <w:t>NSS</w:t>
            </w:r>
          </w:p>
          <w:p w14:paraId="7168D7E6" w14:textId="77777777" w:rsidR="00B06BA8" w:rsidRDefault="00B06BA8" w:rsidP="00B06BA8">
            <w:r>
              <w:t>All partners</w:t>
            </w:r>
          </w:p>
          <w:p w14:paraId="0554974B" w14:textId="77777777" w:rsidR="009E0556" w:rsidRDefault="009E0556" w:rsidP="00B06BA8">
            <w:r>
              <w:t>(Champions)</w:t>
            </w:r>
          </w:p>
          <w:p w14:paraId="695CAA5B" w14:textId="5D30DDBA" w:rsidR="00E56D96" w:rsidRDefault="00E56D96" w:rsidP="00B06BA8">
            <w:r>
              <w:t>(Research Advisory Group)</w:t>
            </w:r>
          </w:p>
        </w:tc>
      </w:tr>
      <w:tr w:rsidR="00B06BA8" w14:paraId="4C9F405F" w14:textId="77777777" w:rsidTr="009C56AF">
        <w:trPr>
          <w:trHeight w:val="1170"/>
        </w:trPr>
        <w:tc>
          <w:tcPr>
            <w:tcW w:w="2263" w:type="dxa"/>
            <w:vMerge/>
            <w:shd w:val="clear" w:color="auto" w:fill="D9D9D9" w:themeFill="background1" w:themeFillShade="D9"/>
          </w:tcPr>
          <w:p w14:paraId="7969564D" w14:textId="77777777" w:rsidR="00B06BA8" w:rsidRDefault="00B06BA8" w:rsidP="00B06BA8"/>
        </w:tc>
        <w:tc>
          <w:tcPr>
            <w:tcW w:w="2694" w:type="dxa"/>
            <w:vMerge/>
          </w:tcPr>
          <w:p w14:paraId="5920CDA5" w14:textId="77777777" w:rsidR="00B06BA8" w:rsidRDefault="00B06BA8" w:rsidP="00B06BA8"/>
        </w:tc>
        <w:tc>
          <w:tcPr>
            <w:tcW w:w="3411" w:type="dxa"/>
          </w:tcPr>
          <w:p w14:paraId="5A7E0E94" w14:textId="277BEF39" w:rsidR="00B06BA8" w:rsidRDefault="00B06BA8" w:rsidP="00B06BA8">
            <w:r>
              <w:t>Develop learning tools, resources and materials (see outline dissemination plan)</w:t>
            </w:r>
          </w:p>
        </w:tc>
        <w:tc>
          <w:tcPr>
            <w:tcW w:w="2790" w:type="dxa"/>
          </w:tcPr>
          <w:p w14:paraId="3102233A" w14:textId="4914DABC" w:rsidR="00B06BA8" w:rsidRDefault="00B06BA8" w:rsidP="00B06BA8">
            <w:r>
              <w:t>Jan 25-June 26</w:t>
            </w:r>
          </w:p>
        </w:tc>
        <w:tc>
          <w:tcPr>
            <w:tcW w:w="2790" w:type="dxa"/>
          </w:tcPr>
          <w:p w14:paraId="1B7DC3AF" w14:textId="1DDEE321" w:rsidR="00B06BA8" w:rsidRPr="00373B60" w:rsidRDefault="00B06BA8" w:rsidP="00B06BA8">
            <w:pPr>
              <w:rPr>
                <w:b/>
                <w:bCs/>
              </w:rPr>
            </w:pPr>
            <w:r w:rsidRPr="00373B60">
              <w:rPr>
                <w:b/>
                <w:bCs/>
              </w:rPr>
              <w:t>NSS</w:t>
            </w:r>
          </w:p>
          <w:p w14:paraId="07E2CE72" w14:textId="77777777" w:rsidR="00B06BA8" w:rsidRDefault="00B06BA8" w:rsidP="00B06BA8">
            <w:r>
              <w:t>All partners</w:t>
            </w:r>
          </w:p>
          <w:p w14:paraId="514067BB" w14:textId="77777777" w:rsidR="009E0556" w:rsidRDefault="009E0556" w:rsidP="00B06BA8">
            <w:r>
              <w:t>(Champions)</w:t>
            </w:r>
          </w:p>
          <w:p w14:paraId="3A0E2B48" w14:textId="518FA59C" w:rsidR="009E0556" w:rsidRDefault="009E0556" w:rsidP="00B06BA8">
            <w:r>
              <w:t>(Research Advisory Group)</w:t>
            </w:r>
          </w:p>
        </w:tc>
      </w:tr>
      <w:tr w:rsidR="00B06BA8" w14:paraId="238FED43" w14:textId="77777777" w:rsidTr="009C56AF">
        <w:trPr>
          <w:trHeight w:val="1370"/>
        </w:trPr>
        <w:tc>
          <w:tcPr>
            <w:tcW w:w="2263" w:type="dxa"/>
            <w:vMerge/>
            <w:shd w:val="clear" w:color="auto" w:fill="D9D9D9" w:themeFill="background1" w:themeFillShade="D9"/>
          </w:tcPr>
          <w:p w14:paraId="05377EDA" w14:textId="77777777" w:rsidR="00B06BA8" w:rsidRDefault="00B06BA8" w:rsidP="00B06BA8"/>
        </w:tc>
        <w:tc>
          <w:tcPr>
            <w:tcW w:w="2694" w:type="dxa"/>
            <w:vMerge w:val="restart"/>
          </w:tcPr>
          <w:p w14:paraId="3D0A292B" w14:textId="70D79823" w:rsidR="00B06BA8" w:rsidRDefault="00B06BA8" w:rsidP="00B06BA8">
            <w:r>
              <w:t>Develop collaborative partnership with a shared vision to influence healthcare system transformation for pressure injury prevention</w:t>
            </w:r>
          </w:p>
        </w:tc>
        <w:tc>
          <w:tcPr>
            <w:tcW w:w="3411" w:type="dxa"/>
          </w:tcPr>
          <w:p w14:paraId="49DA2465" w14:textId="704B5566" w:rsidR="00B06BA8" w:rsidRDefault="00B06BA8" w:rsidP="00B06BA8">
            <w:r>
              <w:t>Establish all collaboration mechanisms and governance</w:t>
            </w:r>
          </w:p>
        </w:tc>
        <w:tc>
          <w:tcPr>
            <w:tcW w:w="2790" w:type="dxa"/>
          </w:tcPr>
          <w:p w14:paraId="50B3255C" w14:textId="4B85F818" w:rsidR="00B06BA8" w:rsidRDefault="00B06BA8" w:rsidP="00B06BA8">
            <w:r>
              <w:t>From month 1 to 18</w:t>
            </w:r>
          </w:p>
        </w:tc>
        <w:tc>
          <w:tcPr>
            <w:tcW w:w="2790" w:type="dxa"/>
          </w:tcPr>
          <w:p w14:paraId="0D1CE1B4" w14:textId="77777777" w:rsidR="00B06BA8" w:rsidRPr="00373B60" w:rsidRDefault="00373B60" w:rsidP="00B06BA8">
            <w:pPr>
              <w:rPr>
                <w:b/>
                <w:bCs/>
              </w:rPr>
            </w:pPr>
            <w:r w:rsidRPr="00373B60">
              <w:rPr>
                <w:b/>
                <w:bCs/>
              </w:rPr>
              <w:t>NSS</w:t>
            </w:r>
          </w:p>
          <w:p w14:paraId="03AD1F21" w14:textId="0348F76B" w:rsidR="00373B60" w:rsidRDefault="00373B60" w:rsidP="00B06BA8">
            <w:r>
              <w:t>All partners</w:t>
            </w:r>
          </w:p>
        </w:tc>
      </w:tr>
      <w:tr w:rsidR="00373B60" w14:paraId="4683A973" w14:textId="77777777" w:rsidTr="009C56AF">
        <w:trPr>
          <w:trHeight w:val="1170"/>
        </w:trPr>
        <w:tc>
          <w:tcPr>
            <w:tcW w:w="2263" w:type="dxa"/>
            <w:vMerge/>
            <w:shd w:val="clear" w:color="auto" w:fill="D9D9D9" w:themeFill="background1" w:themeFillShade="D9"/>
          </w:tcPr>
          <w:p w14:paraId="77EE045F" w14:textId="77777777" w:rsidR="00373B60" w:rsidRDefault="00373B60" w:rsidP="00373B60"/>
        </w:tc>
        <w:tc>
          <w:tcPr>
            <w:tcW w:w="2694" w:type="dxa"/>
            <w:vMerge/>
          </w:tcPr>
          <w:p w14:paraId="012AA927" w14:textId="77777777" w:rsidR="00373B60" w:rsidRDefault="00373B60" w:rsidP="00373B60"/>
        </w:tc>
        <w:tc>
          <w:tcPr>
            <w:tcW w:w="3411" w:type="dxa"/>
          </w:tcPr>
          <w:p w14:paraId="5CA7DB5D" w14:textId="6163AB4E" w:rsidR="00373B60" w:rsidRDefault="00373B60" w:rsidP="00373B60">
            <w:r>
              <w:t>Co-ordinate national and international relationships, stakleholder groups and dissemination / comms activities</w:t>
            </w:r>
          </w:p>
        </w:tc>
        <w:tc>
          <w:tcPr>
            <w:tcW w:w="2790" w:type="dxa"/>
          </w:tcPr>
          <w:p w14:paraId="2E976058" w14:textId="2BF55132" w:rsidR="00373B60" w:rsidRDefault="00373B60" w:rsidP="00373B60">
            <w:r>
              <w:t>From month 1 to 18</w:t>
            </w:r>
          </w:p>
        </w:tc>
        <w:tc>
          <w:tcPr>
            <w:tcW w:w="2790" w:type="dxa"/>
          </w:tcPr>
          <w:p w14:paraId="3D8E9EA4" w14:textId="77777777" w:rsidR="00373B60" w:rsidRPr="00373B60" w:rsidRDefault="00373B60" w:rsidP="00373B60">
            <w:pPr>
              <w:rPr>
                <w:b/>
                <w:bCs/>
              </w:rPr>
            </w:pPr>
            <w:r w:rsidRPr="00373B60">
              <w:rPr>
                <w:b/>
                <w:bCs/>
              </w:rPr>
              <w:t>NSS</w:t>
            </w:r>
          </w:p>
          <w:p w14:paraId="0C6A70A4" w14:textId="77777777" w:rsidR="00373B60" w:rsidRDefault="00373B60" w:rsidP="00373B60">
            <w:r>
              <w:t>All partners</w:t>
            </w:r>
          </w:p>
          <w:p w14:paraId="16D54597" w14:textId="77777777" w:rsidR="009E0556" w:rsidRDefault="009E0556" w:rsidP="00373B60">
            <w:r>
              <w:t>(Champions)</w:t>
            </w:r>
          </w:p>
          <w:p w14:paraId="0057E1F2" w14:textId="5EC101FA" w:rsidR="009E0556" w:rsidRDefault="009E0556" w:rsidP="00373B60">
            <w:r>
              <w:t>(Research Advisory Group)</w:t>
            </w:r>
          </w:p>
        </w:tc>
      </w:tr>
      <w:tr w:rsidR="00373B60" w14:paraId="0A145C91" w14:textId="77777777" w:rsidTr="009C56AF">
        <w:trPr>
          <w:trHeight w:val="1170"/>
        </w:trPr>
        <w:tc>
          <w:tcPr>
            <w:tcW w:w="2263" w:type="dxa"/>
            <w:vMerge/>
            <w:shd w:val="clear" w:color="auto" w:fill="D9D9D9" w:themeFill="background1" w:themeFillShade="D9"/>
          </w:tcPr>
          <w:p w14:paraId="1579DF07" w14:textId="77777777" w:rsidR="00373B60" w:rsidRDefault="00373B60" w:rsidP="00373B60"/>
        </w:tc>
        <w:tc>
          <w:tcPr>
            <w:tcW w:w="2694" w:type="dxa"/>
            <w:vMerge/>
          </w:tcPr>
          <w:p w14:paraId="7F6DC304" w14:textId="77777777" w:rsidR="00373B60" w:rsidRDefault="00373B60" w:rsidP="00373B60"/>
        </w:tc>
        <w:tc>
          <w:tcPr>
            <w:tcW w:w="3411" w:type="dxa"/>
          </w:tcPr>
          <w:p w14:paraId="30DF687D" w14:textId="08D75618" w:rsidR="00373B60" w:rsidRDefault="00373B60" w:rsidP="00373B60">
            <w:r>
              <w:t>Create project legacy (proposals, embedded resources)</w:t>
            </w:r>
          </w:p>
        </w:tc>
        <w:tc>
          <w:tcPr>
            <w:tcW w:w="2790" w:type="dxa"/>
          </w:tcPr>
          <w:p w14:paraId="05B85CF4" w14:textId="68D02E88" w:rsidR="00373B60" w:rsidRDefault="00373B60" w:rsidP="00373B60">
            <w:r>
              <w:t>From month 12 to 18</w:t>
            </w:r>
          </w:p>
        </w:tc>
        <w:tc>
          <w:tcPr>
            <w:tcW w:w="2790" w:type="dxa"/>
          </w:tcPr>
          <w:p w14:paraId="1EF95954" w14:textId="493DD0F1" w:rsidR="00373B60" w:rsidRPr="00373B60" w:rsidRDefault="00373B60" w:rsidP="00373B60">
            <w:pPr>
              <w:rPr>
                <w:b/>
                <w:bCs/>
              </w:rPr>
            </w:pPr>
            <w:r w:rsidRPr="00373B60">
              <w:rPr>
                <w:b/>
                <w:bCs/>
              </w:rPr>
              <w:t>NSS</w:t>
            </w:r>
          </w:p>
          <w:p w14:paraId="70CD8B30" w14:textId="77777777" w:rsidR="00373B60" w:rsidRDefault="00373B60" w:rsidP="00373B60">
            <w:r w:rsidRPr="002517E9">
              <w:t>All partners</w:t>
            </w:r>
          </w:p>
          <w:p w14:paraId="72C8C31A" w14:textId="77777777" w:rsidR="00E56D96" w:rsidRDefault="00E56D96" w:rsidP="00E56D96">
            <w:r>
              <w:t>(</w:t>
            </w:r>
            <w:r>
              <w:t>Champions)</w:t>
            </w:r>
          </w:p>
          <w:p w14:paraId="0CD2B271" w14:textId="1AF1C438" w:rsidR="00E56D96" w:rsidRDefault="00E56D96" w:rsidP="00E56D96">
            <w:r>
              <w:t>(Research Advisory Group)</w:t>
            </w:r>
          </w:p>
        </w:tc>
      </w:tr>
    </w:tbl>
    <w:p w14:paraId="4515CBBC" w14:textId="77777777" w:rsidR="00B03F4D" w:rsidRPr="00A62241" w:rsidRDefault="00B03F4D" w:rsidP="00506F98"/>
    <w:sectPr w:rsidR="00B03F4D" w:rsidRPr="00A62241" w:rsidSect="002A62B2">
      <w:pgSz w:w="16838" w:h="11906" w:orient="landscape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03183"/>
    <w:multiLevelType w:val="hybridMultilevel"/>
    <w:tmpl w:val="4E188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44079"/>
    <w:multiLevelType w:val="hybridMultilevel"/>
    <w:tmpl w:val="2116D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26FFF"/>
    <w:multiLevelType w:val="hybridMultilevel"/>
    <w:tmpl w:val="5756F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865CE"/>
    <w:multiLevelType w:val="hybridMultilevel"/>
    <w:tmpl w:val="DDC8E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9242C"/>
    <w:multiLevelType w:val="hybridMultilevel"/>
    <w:tmpl w:val="BA4A5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802472">
    <w:abstractNumId w:val="3"/>
  </w:num>
  <w:num w:numId="2" w16cid:durableId="1427386924">
    <w:abstractNumId w:val="4"/>
  </w:num>
  <w:num w:numId="3" w16cid:durableId="974914142">
    <w:abstractNumId w:val="0"/>
  </w:num>
  <w:num w:numId="4" w16cid:durableId="495460291">
    <w:abstractNumId w:val="1"/>
  </w:num>
  <w:num w:numId="5" w16cid:durableId="1523281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BE"/>
    <w:rsid w:val="00027A48"/>
    <w:rsid w:val="0005375C"/>
    <w:rsid w:val="0006261A"/>
    <w:rsid w:val="00063680"/>
    <w:rsid w:val="00075986"/>
    <w:rsid w:val="000864F0"/>
    <w:rsid w:val="000908AC"/>
    <w:rsid w:val="000B4EB3"/>
    <w:rsid w:val="000B60A4"/>
    <w:rsid w:val="000C5D87"/>
    <w:rsid w:val="000D745A"/>
    <w:rsid w:val="000E78A8"/>
    <w:rsid w:val="0012620B"/>
    <w:rsid w:val="001264E1"/>
    <w:rsid w:val="00131442"/>
    <w:rsid w:val="00151C23"/>
    <w:rsid w:val="00194422"/>
    <w:rsid w:val="001B3693"/>
    <w:rsid w:val="001C4CF7"/>
    <w:rsid w:val="001D1E1B"/>
    <w:rsid w:val="001E1F2A"/>
    <w:rsid w:val="001E67DF"/>
    <w:rsid w:val="001F488C"/>
    <w:rsid w:val="001F61AC"/>
    <w:rsid w:val="00221393"/>
    <w:rsid w:val="00224589"/>
    <w:rsid w:val="00236C2A"/>
    <w:rsid w:val="00242B22"/>
    <w:rsid w:val="0027619F"/>
    <w:rsid w:val="00296642"/>
    <w:rsid w:val="002A0163"/>
    <w:rsid w:val="002A62B2"/>
    <w:rsid w:val="002B44D7"/>
    <w:rsid w:val="002B5158"/>
    <w:rsid w:val="002B66D4"/>
    <w:rsid w:val="002B72AE"/>
    <w:rsid w:val="002C45B4"/>
    <w:rsid w:val="002C6DF8"/>
    <w:rsid w:val="002D00E6"/>
    <w:rsid w:val="002E76CF"/>
    <w:rsid w:val="002F5608"/>
    <w:rsid w:val="003148F8"/>
    <w:rsid w:val="00323847"/>
    <w:rsid w:val="00325640"/>
    <w:rsid w:val="003345D0"/>
    <w:rsid w:val="00337A27"/>
    <w:rsid w:val="00340C47"/>
    <w:rsid w:val="00370A6B"/>
    <w:rsid w:val="00371575"/>
    <w:rsid w:val="00372AAE"/>
    <w:rsid w:val="00373B60"/>
    <w:rsid w:val="00375E82"/>
    <w:rsid w:val="00390DCF"/>
    <w:rsid w:val="00394003"/>
    <w:rsid w:val="003956FB"/>
    <w:rsid w:val="00396508"/>
    <w:rsid w:val="003E4572"/>
    <w:rsid w:val="00407D8D"/>
    <w:rsid w:val="00454E17"/>
    <w:rsid w:val="00460461"/>
    <w:rsid w:val="0048002B"/>
    <w:rsid w:val="00485AAF"/>
    <w:rsid w:val="00486949"/>
    <w:rsid w:val="00486A81"/>
    <w:rsid w:val="00497C4E"/>
    <w:rsid w:val="004B193E"/>
    <w:rsid w:val="004B4F7A"/>
    <w:rsid w:val="004F6286"/>
    <w:rsid w:val="00506F98"/>
    <w:rsid w:val="005920F3"/>
    <w:rsid w:val="00595ED9"/>
    <w:rsid w:val="005A0228"/>
    <w:rsid w:val="005A0D22"/>
    <w:rsid w:val="005E3A56"/>
    <w:rsid w:val="0060494D"/>
    <w:rsid w:val="00607CF5"/>
    <w:rsid w:val="00610F18"/>
    <w:rsid w:val="00614AD1"/>
    <w:rsid w:val="00631E72"/>
    <w:rsid w:val="00650143"/>
    <w:rsid w:val="00650DAD"/>
    <w:rsid w:val="00654751"/>
    <w:rsid w:val="00661CCA"/>
    <w:rsid w:val="00664729"/>
    <w:rsid w:val="00665FFF"/>
    <w:rsid w:val="00672411"/>
    <w:rsid w:val="006922E9"/>
    <w:rsid w:val="00694108"/>
    <w:rsid w:val="006B4F58"/>
    <w:rsid w:val="006C2805"/>
    <w:rsid w:val="006C4F14"/>
    <w:rsid w:val="006D3092"/>
    <w:rsid w:val="006D3101"/>
    <w:rsid w:val="006E71B4"/>
    <w:rsid w:val="006F7419"/>
    <w:rsid w:val="00722E0E"/>
    <w:rsid w:val="007327AE"/>
    <w:rsid w:val="0074440F"/>
    <w:rsid w:val="00745626"/>
    <w:rsid w:val="007465D1"/>
    <w:rsid w:val="00754FBB"/>
    <w:rsid w:val="0078718A"/>
    <w:rsid w:val="007A2C88"/>
    <w:rsid w:val="007A79AC"/>
    <w:rsid w:val="007A7F8A"/>
    <w:rsid w:val="007D6E8E"/>
    <w:rsid w:val="007E1E35"/>
    <w:rsid w:val="007E2EB6"/>
    <w:rsid w:val="007F3646"/>
    <w:rsid w:val="00801930"/>
    <w:rsid w:val="008109E6"/>
    <w:rsid w:val="00811F5C"/>
    <w:rsid w:val="00814F29"/>
    <w:rsid w:val="00817831"/>
    <w:rsid w:val="0083111E"/>
    <w:rsid w:val="008356B6"/>
    <w:rsid w:val="00850E79"/>
    <w:rsid w:val="00867341"/>
    <w:rsid w:val="008B18F8"/>
    <w:rsid w:val="008B6B1D"/>
    <w:rsid w:val="008B7342"/>
    <w:rsid w:val="008C6B4A"/>
    <w:rsid w:val="008F0EC0"/>
    <w:rsid w:val="008F5566"/>
    <w:rsid w:val="009003B3"/>
    <w:rsid w:val="00931103"/>
    <w:rsid w:val="00942F6D"/>
    <w:rsid w:val="00975CAD"/>
    <w:rsid w:val="009810BF"/>
    <w:rsid w:val="009A2362"/>
    <w:rsid w:val="009A49C0"/>
    <w:rsid w:val="009C1400"/>
    <w:rsid w:val="009C56AF"/>
    <w:rsid w:val="009D21CC"/>
    <w:rsid w:val="009D6152"/>
    <w:rsid w:val="009E0556"/>
    <w:rsid w:val="00A016FD"/>
    <w:rsid w:val="00A24113"/>
    <w:rsid w:val="00A45DA4"/>
    <w:rsid w:val="00A45EF6"/>
    <w:rsid w:val="00A55241"/>
    <w:rsid w:val="00A6069B"/>
    <w:rsid w:val="00A62241"/>
    <w:rsid w:val="00A76795"/>
    <w:rsid w:val="00A9089E"/>
    <w:rsid w:val="00A9327D"/>
    <w:rsid w:val="00AB2FB8"/>
    <w:rsid w:val="00AB7986"/>
    <w:rsid w:val="00AD707C"/>
    <w:rsid w:val="00AF5E7F"/>
    <w:rsid w:val="00AF6947"/>
    <w:rsid w:val="00B03F4D"/>
    <w:rsid w:val="00B047B9"/>
    <w:rsid w:val="00B06BA8"/>
    <w:rsid w:val="00B147F8"/>
    <w:rsid w:val="00B24F8D"/>
    <w:rsid w:val="00B56515"/>
    <w:rsid w:val="00B62C5D"/>
    <w:rsid w:val="00B84D35"/>
    <w:rsid w:val="00BC6876"/>
    <w:rsid w:val="00BD77F7"/>
    <w:rsid w:val="00C00FD8"/>
    <w:rsid w:val="00C11762"/>
    <w:rsid w:val="00C16A6D"/>
    <w:rsid w:val="00C33B19"/>
    <w:rsid w:val="00C8642E"/>
    <w:rsid w:val="00C93B4D"/>
    <w:rsid w:val="00C943A4"/>
    <w:rsid w:val="00CA4A07"/>
    <w:rsid w:val="00CC5F97"/>
    <w:rsid w:val="00CC62AA"/>
    <w:rsid w:val="00CD32AE"/>
    <w:rsid w:val="00D011BC"/>
    <w:rsid w:val="00D05C34"/>
    <w:rsid w:val="00D35E1E"/>
    <w:rsid w:val="00D67498"/>
    <w:rsid w:val="00D70E84"/>
    <w:rsid w:val="00D84C01"/>
    <w:rsid w:val="00D914CB"/>
    <w:rsid w:val="00DA511F"/>
    <w:rsid w:val="00DA7472"/>
    <w:rsid w:val="00E21542"/>
    <w:rsid w:val="00E26470"/>
    <w:rsid w:val="00E56D96"/>
    <w:rsid w:val="00E62C4F"/>
    <w:rsid w:val="00E96569"/>
    <w:rsid w:val="00EB2E59"/>
    <w:rsid w:val="00ED351F"/>
    <w:rsid w:val="00EE090F"/>
    <w:rsid w:val="00EE22D8"/>
    <w:rsid w:val="00EE3064"/>
    <w:rsid w:val="00F01910"/>
    <w:rsid w:val="00F11D9D"/>
    <w:rsid w:val="00F35D60"/>
    <w:rsid w:val="00F4053C"/>
    <w:rsid w:val="00F61F2F"/>
    <w:rsid w:val="00F629AD"/>
    <w:rsid w:val="00F90CBE"/>
    <w:rsid w:val="00F9553F"/>
    <w:rsid w:val="00FA3485"/>
    <w:rsid w:val="00FA4A9F"/>
    <w:rsid w:val="00FA6887"/>
    <w:rsid w:val="00FE64E8"/>
    <w:rsid w:val="00FF2277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1B617"/>
  <w15:chartTrackingRefBased/>
  <w15:docId w15:val="{3731D069-EDFA-4276-8E4F-962F16D5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CBE"/>
    <w:pPr>
      <w:spacing w:after="0" w:line="240" w:lineRule="auto"/>
    </w:pPr>
    <w:rPr>
      <w:kern w:val="0"/>
      <w:lang w:val="pl-P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CB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CB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CB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CB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CB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CBE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CBE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CBE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CBE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C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C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C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C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C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C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C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C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C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C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90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CB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90C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CB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90C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CBE"/>
    <w:pPr>
      <w:spacing w:after="160" w:line="278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90C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C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C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CB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NHSS National Services Scotland</Company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Campbell</dc:creator>
  <cp:keywords/>
  <dc:description/>
  <cp:lastModifiedBy>Ruth Campbell</cp:lastModifiedBy>
  <cp:revision>202</cp:revision>
  <dcterms:created xsi:type="dcterms:W3CDTF">2024-09-03T04:38:00Z</dcterms:created>
  <dcterms:modified xsi:type="dcterms:W3CDTF">2024-09-03T14:33:00Z</dcterms:modified>
</cp:coreProperties>
</file>